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5A_77/2008 vom 28. April 2008</w:t>
      </w:r>
    </w:p>
    <w:p>
      <w:r>
        <w:t>Bundesgericht, 2008-04-28, FR</w:t>
      </w:r>
    </w:p>
    <w:p>
      <w:r>
        <w:rPr>
          <w:b/>
        </w:rPr>
        <w:t xml:space="preserve">Quelle: </w:t>
      </w:r>
      <w:r>
        <w:t>https://mcp.opencaselaw.ch/entscheid/bger_5A_77_2008</w:t>
      </w:r>
    </w:p>
    <w:p>
      <w:r>
        <w:t>FR: TF 5A_77/2008 du 28 avril 2008</w:t>
      </w:r>
    </w:p>
    <w:p>
      <w:r>
        <w:t>IT: TF 5A_77/2008 del 28 aprile 2008</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 (cf. ATF 133 III 350 consid. 1.2).</w:t>
      </w:r>
    </w:p>
    <w:p>
      <w:r>
        <w:rPr>
          <w:b/>
        </w:rPr>
        <w:t>E. 2</w:t>
      </w:r>
    </w:p>
    <w:p>
      <w:r>
        <w:t>En ce qui concerne les constatations de fait, la recourante fait valoir que la Commission cantonale de surveillance a omis de retenir que le procès-verbal de séquestre ne désigne pas l'objet à séquestrer, que l'office a émis deux procès-verbaux différents, portant la même date, pour la même affaire de séquestre et qu'il ne dit pas, à propos de la créance séquestrée, "due par [le tiers débiteur] suite à un jugement", de quelle créance il s'agit.</w:t>
      </w:r>
    </w:p>
    <w:p>
      <w:r>
        <w:rPr>
          <w:b/>
        </w:rPr>
        <w:t>E. 2.1</w:t>
      </w:r>
    </w:p>
    <w:p>
      <w:r>
        <w:t>Le recourant qui entend invoquer que les faits ont été établis de manière manifestement inexacte ( art. 97 al. 1 LTF ), c'est-à-dire que les constatations de fait sont arbitraires, au sens de l' art. 9 Cst. (Message concernant la révision totale de l'organisation judiciaire fédérale du 28 février 2001, FF 2001 p. 4000 ss, p. 4035 n. 2.3.1.2 et p. 4135 ad art. 92; ci-après: Message),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Message, p. 4142 ad art. 100; cf. art. 90 al. 1 let. b OJ ; ATF 130 I 26 consid. 2.1 p. 31; 130 I 258 consid. 1.3 p. 261/262; 125 I 71 consid. 1c p. 76 et les arrêts cités). De surcroît, le recourant doit démontrer que la violation qu'il invoque est susceptible d'avoir une influence sur le sort de la cause (art. 97 al. 1, in fine, LTF); il doit rendre vraisemblable que la décision finale aurait été différente si les faits avaient été établis de manière conforme au droit (Message, p. 4136 ad art. 92).</w:t>
      </w:r>
    </w:p>
    <w:p>
      <w:r>
        <w:rPr>
          <w:b/>
        </w:rPr>
        <w:t>E. 2.2</w:t>
      </w:r>
    </w:p>
    <w:p>
      <w:r>
        <w:t>Il n'y a pas lieu d'examiner si ces exigences sont respectées en l'espèce, car le grief d'omission adressé à l'autorité cantonale sur les trois points de fait en question est de toute façon infondé.</w:t>
      </w:r>
    </w:p>
    <w:p>
      <w:r>
        <w:t>En effet, s'agissant tout d'abord de la désignation de l'objet à séquestrer, le procès-verbal litigieux renvoie expressément à la rubrique "objets à séquestrer" figurant au dos de l'ordonnance de séquestre, ce qui est parfaitement admissible compte tenu du rattachement physique du procès-verbal de l'office à l'ordonnance du juge, le procès-verbal étant dressé "au pied" de celle-ci (art. 276 al. 1 première phrase LP) ou plutôt au verso (form. 45) ou sur une page annexe (form. 45a) (cf.Stoffel/Chabloz, Commentaire romand de la LP, n. 2 ad art. 276 LP ). On comprend aisément à la lecture du procès-verbal litigieux qu'il désigne comme objet à séquestrer en mains du tiers débiteur les "contributions d'entretien versées" à la débitrice.</w:t>
      </w:r>
    </w:p>
    <w:p>
      <w:r>
        <w:t>Quant à la date des deux procès-verbaux de séquestre, elle est effectivement la même, dactylographiée, sur les deux actes (11 juillet 2007), mais le second acte porte en plus la date du 20 septembre 2007, apposée au moyen d'un timbre humide, ce qui les distingue parfaitement, étant constant et incontesté par ailleurs que, le 20 septembre 2007, l'office a annulé et remplacé le premier procès-verbal.</w:t>
      </w:r>
    </w:p>
    <w:p>
      <w:r>
        <w:t>En ce qui concerne enfin l'identification de la créance séquestrée mentionnée par l'office, le dossier du séquestre à exécuter, en particulier la requête de séquestre, la rendait d'emblée évidente: il s'agissait indubitablement de la créance en contributions d'entretien dues par le tiers débiteur à la débitrice en vertu d'un jugement de divorce.</w:t>
      </w:r>
    </w:p>
    <w:p>
      <w:r>
        <w:rPr>
          <w:b/>
        </w:rPr>
        <w:t>E. 3</w:t>
      </w:r>
    </w:p>
    <w:p>
      <w:r>
        <w:t>Sur le fond, la question posée par le recours est de savoir si, à teneur de l'ordonnance du Tribunal de première instance du 30 mars 2007, le séquestre portait sur des contributions d'entretien déjà versées ou bien sur les contributions à verser.</w:t>
      </w:r>
    </w:p>
    <w:p>
      <w:r>
        <w:t>S'il fallait retenir la première hypothèse, force serait de constater d'office la nullité de ladite ordonnance, vu l'incompétence du juge genevois d'autoriser le séquestre de biens se trouvant à l'étranger (cf. art. 272 al. 1 LP ). Cette hypothèse doit toutefois être clairement écartée pour les motifs ci-après.</w:t>
      </w:r>
    </w:p>
    <w:p>
      <w:r>
        <w:t>Dans sa requête de séquestre du 29 mars 2007, la créancière a exposé au juge que "la débitrice est domiciliée à l'étranger" et que "la présente requête vise [...] les contributions d'entretien versées à [la débitrice] par son ex-mari, et ce en vertu du jugement du Tribunal de Première Instance de Genève du 18 janvier 2001 [jugement de divorce produit en annexe], le débiteur de la prestation (tiers-débiteur) [étant] domicilié [...] à Genève". Sous la rubrique "Biens à séquestrer", la créancière mentionnait que "les biens à séquestrer dans la présente procédure résultent d'une créance de la débitrice; en effet, [celle-ci] perçoit des contributions d'entretien que [le tiers débiteur] a l'obligation de verser [mensuellement] en vertu du jugement de divorce; il s'agira dès lors d'ordonner le séquestre des contributions d'entretien versées à [la débitrice]". Sur la base de ces éléments, c'est à juste titre que la Commission cantonale de surveillance a retenu que les avoirs visés par le séquestre étaient les subsides "à verser" à la débitrice, soit la créance qu'elle possédait à l'encontre du tiers débiteur et non les contributions déjà versées par celui-ci, lesquelles ne pouvaient plus être saisies en ses mains. C'est à juste titre également qu'elle a par conséquent conclu que l'ordre donné par le juge du séquestre n'était ni lacunaire ni imprécis et que l'office n'avait pas séquestré d'autres biens que ceux mentionnés dans l'ordonnance de séquestre. En avisant le tiers débiteur le 30 mars 2007 de l'exécution du séquestre, l'office ne s'y est d'ailleurs pas trompé: il l'a prévenu clairement que "désormais" il ne pourrait plus s'acquitter qu'en mains de l'office et l'a invité à bloquer immédiatement le montant échu de la créance, soit implicitement les contributions d'entretien non encore versées ou à verser.</w:t>
      </w:r>
    </w:p>
    <w:p>
      <w:r>
        <w:t>Sur ce point, la décision de la Commission cantonale de surveillance ne peut donc qu'être confirmée.</w:t>
      </w:r>
    </w:p>
    <w:p>
      <w:r>
        <w:rPr>
          <w:b/>
        </w:rPr>
        <w:t>E. 4</w:t>
      </w:r>
    </w:p>
    <w:p>
      <w:r>
        <w:t>Quant au grief de violation de l'art. 276 al. 1, 2ème phrase, LP (désignation des objets dans le procès-verbal de séquestre), il est à l'évidence mal fondé au vu de ce qui précède (spéc. consid. 2.2, 2e par.).</w:t>
      </w:r>
    </w:p>
    <w:p>
      <w:r>
        <w:rPr>
          <w:b/>
        </w:rPr>
        <w:t>E. 5</w:t>
      </w:r>
    </w:p>
    <w:p>
      <w:r>
        <w:t>En conséquence, le recours doit être rejeté dans la mesure de sa recevabilité, aux frais de son auteur ( art. 66 al. 1 LTF ). Des déterminations n'ayant été déposées ni sur la question de l'effet suspensif, la créancière s'étant simplement rapportée à justice sur ce point, ni sur le fond,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