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5A_779/2010 vom 1. April 2011</w:t>
      </w:r>
    </w:p>
    <w:p>
      <w:r>
        <w:t>Bundesgericht, 2011-04-01, FR</w:t>
      </w:r>
    </w:p>
    <w:p>
      <w:r>
        <w:rPr>
          <w:b/>
        </w:rPr>
        <w:t xml:space="preserve">Quelle: </w:t>
      </w:r>
      <w:r>
        <w:t>https://mcp.opencaselaw.ch/entscheid/bger_5A_779_2010</w:t>
      </w:r>
    </w:p>
    <w:p>
      <w:r>
        <w:t>FR: TF 5A_779/2010 du 1 avril 2011</w:t>
      </w:r>
    </w:p>
    <w:p>
      <w:r>
        <w:t>IT: TF 5A_779/2010 del 1 aprile 2011</w:t>
      </w:r>
    </w:p>
    <w:p>
      <w:pPr>
        <w:pStyle w:val="Heading2"/>
      </w:pPr>
      <w:r>
        <w:t>Erwägungen</w:t>
      </w:r>
    </w:p>
    <w:p>
      <w:r>
        <w:rPr>
          <w:b/>
        </w:rPr>
        <w:t>E. 1</w:t>
      </w:r>
    </w:p>
    <w:p>
      <w:r>
        <w:t>Le recours a été interjeté dans le délai ( art. 100 al. 2 let. a LTF ) et la forme ( art. 42 LTF ) prévus par la loi et il est dirigé contre une décision finale ( art. 90 LTF ) rendue en matière de poursuite pour dettes et de faillite ( art. 72 al. 2 let. a LTF ) par une autorité cantonale de surveillance de dernière instance ( art. 75 al. 1 LTF ). Il émane en outre d'une partie qui a pris part à la procédure devant l'autorité précédente et qui a un intérêt juridique à l'annulation de la décision attaquée en tant que celle-ci ordonne l'enregistrement d'une opposition au commandement de payer qu'elle a fait notifier à l'intimé (sans opposition à teneur de l'édition de la poursuite), annule sa réquisition de continuer la poursuite et constate la nullité de la saisie qu'elle a obtenue ( art. 76 al. 1 LTF ). Le recours est donc recevable en principe, et ce indépendamment de la valeur litigieuse ( art. 74 al. 2 let . c LTF).</w:t>
      </w:r>
    </w:p>
    <w:p>
      <w:r>
        <w:rPr>
          <w:b/>
        </w:rPr>
        <w:t>E. 2.1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rPr>
          <w:b/>
        </w:rPr>
        <w:t>E. 2.2</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4.5; 133 I 98 consid. 2.2; 132 I 42 consid. 3.3.2 - 3.3.4; arrêts 5A_791/2010 du 23 mars 2011 consid. 2.3.1; 5D_8/2011 du 8 mars 2011 consid. 2.1; 4D_111/2010 du 19 janvier 2011 consid. 2.1; cf. en outre les arrêts de la Cour européenne des droits de l'homme dans les causes Schaller-Bossert contre Suisse du 28 octobre 2010 § 39 s. et Nideröst-Huber contre Suisse du 18 février 1997, Recueil CourEDH 1997-I p. 101 § 24).</w:t>
      </w:r>
    </w:p>
    <w:p>
      <w:r>
        <w:t>En relation avec une telle communication, le tribunal a la possibilité d'ordonner un second échange d'écritures, ce qu'il fait cependant exceptionnellement (cf. en ce sens art. 102 al. 3 LTF ) ou lorsque les circonstances le justifient (cf. art. 225 CPC ). S'il y renonce, il doit néanmoins transmettre la prise de position ou pièce nouvelle à l'autre ou aux autres parties. Au vu de la jurisprudence de la Cour européenne des droits de l'homme, en particulier des récents arrêts Schaller-Bossert contre Suisse du 28 octobre 2010 § 39 ss et Ellès et autres contre Suisse du 16 décembre 2010 § 26 ss, la Conférence des Présidents du Tribunal fédéral a décidé que, pour ses propres communications et afin de respecter le droit d'être entendu, le Tribunal fédéral transmettra, en précisant qu'un second échange d'écritures n'est pas ordonné, la prise de position ou pièce nouvelle pour information et impartira un délai pour le dépôt d'observations éventuelles.</w:t>
      </w:r>
    </w:p>
    <w:p>
      <w:r>
        <w:rPr>
          <w:b/>
        </w:rPr>
        <w:t>E. 2.3</w:t>
      </w:r>
    </w:p>
    <w:p>
      <w:r>
        <w:t>En l'espèce, il est constant que l'autorité cantonale de surveillance n'a même pas communiqué aux participants à la procédure les déterminations et autres documents recueillis après l'échange d'écritures sur la plainte (réponses de La Poste et de l'office du 12 octobre 2010, courriel de l'huissier du 14 octobre 2010, données de l'Office cantonal de la population). C'est donc à bon droit, au vu de la jurisprudence susmentionnée, que la recourante lui reproche d'avoir violé son droit à la réplique.</w:t>
      </w:r>
    </w:p>
    <w:p>
      <w:r>
        <w:t>Le recours doit donc être admis pour ce motif, sans qu'il soit nécessaire d'examiner les autres griefs soulevés par la recourante. La décision attaquée doit par conséquent être annulée et la cause renvoyée à l'autorité précédente pour nouvelle décision prise dans le respect du droit à la réplique défini ci-dessus.</w:t>
      </w:r>
    </w:p>
    <w:p>
      <w:r>
        <w:rPr>
          <w:b/>
        </w:rPr>
        <w:t>E. 3</w:t>
      </w:r>
    </w:p>
    <w:p>
      <w:r>
        <w:t>Vu la situation économique de la recourante, qui ne dispose pas de ressources suffisantes et dont les conclusions n'étaient par ailleurs pas d'emblée dénuées de chances de succès, il convient d'accéder à sa requête d'assistance judiciaire ( art. 64 al. 1 LTF ), Me Romain Jordan lui étant désigné comme avocat d'office.</w:t>
      </w:r>
    </w:p>
    <w:p>
      <w:r>
        <w:t>Quant à la demande d'assistance judiciaire présentée par l'intimé, elle doit être rejetée, faute de preuve de la situation de besoin invoquée et de chances de succès de la réponse, laquelle ne se détermine notamment pas sur la question décisive du droit de réplique. Partant, l'intimé doit être condamné au paiement des frais et dépens de l'instance fédérale (art. 66 al. 1 et 68 al. 1 LP). En l'occurrence, il y a lieu de faire une réserve concernant le paiement des honoraires de l'avocat d'office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