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5A_778/2017 vom 11. Oktober 2017</w:t>
      </w:r>
    </w:p>
    <w:p>
      <w:r>
        <w:t>Bundesgericht, 2017-10-11, FR</w:t>
      </w:r>
    </w:p>
    <w:p>
      <w:r>
        <w:rPr>
          <w:b/>
        </w:rPr>
        <w:t xml:space="preserve">Quelle: </w:t>
      </w:r>
      <w:r>
        <w:t>https://mcp.opencaselaw.ch/entscheid/bger_5A_778_2017</w:t>
      </w:r>
    </w:p>
    <w:p>
      <w:r>
        <w:t>FR: TF 5A_778/2017 du 11 octobre 2017</w:t>
      </w:r>
    </w:p>
    <w:p>
      <w:r>
        <w:t>IT: TF 5A_778/2017 del 11 ottobre 2017</w:t>
      </w:r>
    </w:p>
    <w:p>
      <w:pPr>
        <w:pStyle w:val="Heading2"/>
      </w:pPr>
      <w:r>
        <w:t>Erwägungen</w:t>
      </w:r>
    </w:p>
    <w:p>
      <w:r>
        <w:rPr>
          <w:b/>
        </w:rPr>
        <w:t>E. 1</w:t>
      </w:r>
    </w:p>
    <w:p>
      <w:r>
        <w:t>Par arrêt du 15 août 2017 la Chambre civile de la Cour de justice du canton de Genève a déclaré recevables les appels interjetés respectivement par B.A.________ et A.A.________ à l'encontre du jugement de mesures protectrices de l'union conjugale rendu le 24 mars 2017 par le Tribunal de première instance, annulé les chiffres 6 à 12 du dispositif dudit jugement, et, statuant à nouveau, réglé le droit de visite de la fille aînée des époux, fixé le domicile légal des trois enfants, et astreint l'époux au paiement des frais de scolarité et de contributions d'entretien.</w:t>
      </w:r>
    </w:p>
    <w:p>
      <w:r>
        <w:rPr>
          <w:b/>
        </w:rPr>
        <w:t>E. 2</w:t>
      </w:r>
    </w:p>
    <w:p>
      <w:r>
        <w:t>Par acte du 4 octobre 2017, A.A.________ exerce un recours en matière civile au Tribunal fédéral.</w:t>
      </w:r>
    </w:p>
    <w:p>
      <w:r>
        <w:t>Le recours est dirigé contre une décision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En l'espèce, la recourante affirme que l'autorité précédente a versé dans l'arbitraire ( art. 9 Cst. ) dans l'établissement des faits et l'appréciation des preuves en ce qui concerne son revenu et ses charges. Dans son écriture, elle se limite cependant à préciser que le revenu qui lui a été imputé représente son salaire brut et à affirmer que la fille aînée du couple est à sa charge pendant un temps supérieur à un droit de visite usuel. Ce faisant, la recourante ne démontre pas, avec précision et de manière détaillée, en quoi la motivation de l'arrêt attaqué violerait la Constitution ou l'un de ses droits fondamentaux, en particulier, elle n'établit pas, de manière chiffrée, que ces deux constatations auraient une incidence significative sur le sort de la cause. Le recours ne satisfait par conséquent pas aux exigences accrues de motivation de l' art. 106 al. 2 LTF , par renvoi de l' art. 98 LTF , et doit donc être déclaré irrecevable.</w:t>
      </w:r>
    </w:p>
    <w:p>
      <w:r>
        <w:t>En définitive, le recours doit être déclaré irrecevable selon la procédure simplifiée de l' art. 108 al. 1 let. b LTF .</w:t>
      </w:r>
    </w:p>
    <w:p>
      <w:r>
        <w:rPr>
          <w:b/>
        </w:rPr>
        <w:t>E. 3</w:t>
      </w:r>
    </w:p>
    <w:p>
      <w:r>
        <w:t>Les frais judiciaires, arrêtés à 700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