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5A_777/2024 vom 15. November 2024</w:t>
      </w:r>
    </w:p>
    <w:p>
      <w:r>
        <w:t>Bundesgericht, 2024-11-15, DE</w:t>
      </w:r>
    </w:p>
    <w:p>
      <w:r>
        <w:rPr>
          <w:b/>
        </w:rPr>
        <w:t xml:space="preserve">Quelle: </w:t>
      </w:r>
      <w:r>
        <w:t>https://mcp.opencaselaw.ch/entscheid/bger_5A_777_2024</w:t>
      </w:r>
    </w:p>
    <w:p>
      <w:r>
        <w:t>FR: TF 5A_777/2024 du 15 novembre 2024</w:t>
      </w:r>
    </w:p>
    <w:p>
      <w:r>
        <w:t>IT: TF 5A_777/2024 del 15 novembre 2024</w:t>
      </w:r>
    </w:p>
    <w:p>
      <w:pPr>
        <w:pStyle w:val="Heading2"/>
      </w:pPr>
      <w:r>
        <w:t>Erwägungen</w:t>
      </w:r>
    </w:p>
    <w:p>
      <w:r>
        <w:rPr>
          <w:b/>
        </w:rPr>
        <w:t>E. 1</w:t>
      </w:r>
    </w:p>
    <w:p>
      <w:r>
        <w:t>Die Beschwerde enthält weder ein Rechtsbegehren noch eine Begründung ( Art. 42 Abs. 1 und 2 BGG ). Im Übrigen ist auch kein aktuelles rechtlich geschütztes Interesse an der Anfechtung des obergerichtlichen Entscheides ersichtlich ( Art. 76 Abs. 1 lit. b BGG ), weil die kantonale Beschwerde gutgeheissen und die Beschwerdeführerin aus der Klinik entlassen wurde (vgl. BGE 136 III 497 ). Mithin ist auf die Beschwerde im vereinfachten Verfahren nach Art. 108 Abs. 1 lit. a und b BGG nicht einzutreten.</w:t>
      </w:r>
    </w:p>
    <w:p>
      <w:r>
        <w:rPr>
          <w:b/>
        </w:rPr>
        <w:t>E. 2</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