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5A_777/2009 vom 1. Februar 2010</w:t>
      </w:r>
    </w:p>
    <w:p>
      <w:r>
        <w:t>Bundesgericht, 2010-02-01, FR</w:t>
      </w:r>
    </w:p>
    <w:p>
      <w:r>
        <w:rPr>
          <w:b/>
        </w:rPr>
        <w:t xml:space="preserve">Quelle: </w:t>
      </w:r>
      <w:r>
        <w:t>https://mcp.opencaselaw.ch/entscheid/bger_5A_777_2009</w:t>
      </w:r>
    </w:p>
    <w:p>
      <w:r>
        <w:t>FR: TF 5A_777/2009 du 1 février 2010</w:t>
      </w:r>
    </w:p>
    <w:p>
      <w:r>
        <w:t>IT: TF 5A_777/2009 del 1 febbraio 2010</w:t>
      </w:r>
    </w:p>
    <w:p>
      <w:pPr>
        <w:pStyle w:val="Heading2"/>
      </w:pPr>
      <w:r>
        <w:t>Erwägungen</w:t>
      </w:r>
    </w:p>
    <w:p>
      <w:r>
        <w:rPr>
          <w:b/>
        </w:rPr>
        <w:t>E. 1.1</w:t>
      </w:r>
    </w:p>
    <w:p>
      <w:r>
        <w:t>Le recours a été interjeté en temps utile ( art. 100 al. 1 LTF ) contre une décision finale ( art. 90 LTF ; Message du Conseil fédéral du 28 février 2001 concernant la révision totale de l'organisation judiciaire fédérale, in FF 2001 p. 4000 ss, ch. 4.1.4.1 p. 4129 [ci-après: message]; cf. arrêt 5A_102/2007 du 29 juin 2007 consid. 1.3, publié in: BR 4/2007 p. 173 n° 382 [pour l'hypothèque légale de l' art. 712i CC ]) rendue en matière civile ( art. 72 al. 1 LTF ) et dont la valeur litigieuse atteint 30'000 fr. ( art. 74 al. 1 let. b LTF ). La recourante, qui a succombé devant l'autorité cantonale, a qualité pour recourir ( art. 76 al. 1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p. 4115; cf. pour l' art. 86 al. 1 OJ : ATF 126 I 257 consid. 1a p. 258; 119 Ia 421 consid. 2b p. 422; 110 Ia 71 consid. 2 et les arrêts cités). Dans le canton de Vaud, l'arrêt sur appel en matière de mesures provisionnelles peut faire l'objet d'un recours en nullité pour les motifs prévus par l' art. 444 al. 1 ch. 3 CPC /VD, à savoir pour déni de justice formel, ainsi que pour arbitraire dans l'appréciation des preuves ( ATF 126 I 257 consid. 1a p. 258; arrêt 5A_390/2007 du 29 octobre 2007 consid. 2.2; 5A_87/2007 du 2 août 2007 consid. 2.3; JdT 2007 III 48 consid. 3a p. 49; JdT 2001 III 128; Poudret/Haldy/ Tappy, Procédure civile vaudoise, 3e éd. 2002, n. 1 ad art. 108, n. 1 ad art. 111 et n. 15 ad art. 444 CPC /VD; Tappy, note ad JdT 2000 III 78).</w:t>
      </w:r>
    </w:p>
    <w:p>
      <w:r>
        <w:t>En l'espèce, la recourante se plaint dans un premier grief de la constatation inexacte, respectivement incomplète des faits, à savoir d'une appréciation arbitraire des preuves, moyen qu'elle aurait dû soulever dans le cadre d'un recours en nullité auprès de la Chambre des recours du Tribunal cantonal du canton de Vaud. A la lecture de son argumentation, on constate toutefois qu'elle ne s'en prend pas aux faits retenus par la cour cantonale, mais bien à l'application du droit à ceux-ci, de sorte que sa critique est recevable. Pour le surplus, en tant qu'elle se plaint d'arbitraire dans l'application du droit fédéral, son moyen est également recevable.</w:t>
      </w:r>
    </w:p>
    <w:p>
      <w:r>
        <w:rPr>
          <w:b/>
        </w:rPr>
        <w:t>E. 1.3</w:t>
      </w:r>
    </w:p>
    <w:p>
      <w:r>
        <w:t>La décision attaquée a pour objet des "mesures provisionnelles", au sens de l' art. 98 LTF (arrêt 5A_102/2007 du 29 juin 2007 consid. 1.3 précité), de sorte que seule peut être invoquée la violation de droits constitutionnels.</w:t>
      </w:r>
    </w:p>
    <w:p>
      <w:r>
        <w:t>Le Tribunal fédéral n'examine de tels griefs que s'ils ont été invoqués et motivés ( art. 106 al. 2 LTF ), à savoir expressément soulevés et exposés d'une manière claire et détaillée ( ATF 133 IV 286 consid. 1.4 p. 287). Il n'entre pas en matière sur les critiques de nature appellatoire ( ATF 133 III 589 consid. 2 p. 591/592).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p. 352 et les arrêts cités).</w:t>
      </w:r>
    </w:p>
    <w:p>
      <w:r>
        <w:rPr>
          <w:b/>
        </w:rPr>
        <w:t>E. 2</w:t>
      </w:r>
    </w:p>
    <w:p>
      <w:r>
        <w:t>La cour cantonale a considéré que la requérante n'avait pas rendu vraisemblable le respect du délai de déchéance de trois mois de l' art. 839 al. 2 CC pour requérir l'inscription de l'hypothèque légale. D'une part, contrairement à ce qu'elle soutient, les deux contrats ne forment pas un tout; l'un, du 22 décembre 2005, se rapporte au solde des travaux d'équipement, d'infrastructure et d'accès des parcelles nos 1976, 1988 et 1989, alors que l'autre, signé les 21 décembre 2005 et 10 janvier 2006, concerne les travaux de terrassement, de béton armé et de maçonnerie des villas nos 15 à 20, à savoir les parcelles nos 1976-1 à 1976-6; en outre, lorsque les travaux se rapportent à des parts de copropriété, il y a lieu de distinguer entre les travaux qui concernent les unités d'étages et ceux qui concernent les parties communes. Partant, il est exclu de considérer en l'espèce que les travaux confiés à la requérante ont constitué un tout et que le délai de trois mois a commencé à courir, à l'égard de chaque copropriétaire, du jour de la dernière prestation fournie par l'intéressée sur l'ensemble du chantier. D'autre part, si l'on peut admettre qu'une partie des travaux du 2 juillet 2007 a concerné la parcelle n° 1976, la requérante n'a pas rendu vraisemblable si le chemin piéton dont il est question est situé dans des parties communes ou s'il ne concerne que certaines parts de copropriété d'étages. Enfin, contrairement à ce qu'a retenu le premier juge, il n'est pas exclu que les travaux du 2 juillet 2007 aient constitué l'achèvement des travaux confiés à la requérante par Groupe J.________ SA et I.________ par contrat du 22 décembre 2005; toutefois, la créance en résultant a été éteinte par la convention signée par ces mêmes parties le 28 avril 2009, aux termes de laquelle elles se sont expressément donné quittance pour solde de tout compte du chef notamment des travaux exécutés en vertu de ce contrat.</w:t>
      </w:r>
    </w:p>
    <w:p>
      <w:r>
        <w:rPr>
          <w:b/>
        </w:rPr>
        <w:t>E. 3</w:t>
      </w:r>
    </w:p>
    <w:p>
      <w:r>
        <w:t>Se plaignant d'une constatation inexacte des faits, la recourante fait en réalité valoir un grief de droit, à savoir que la cour cantonale aurait à tort considéré que les deux contrats ne forment pas un tout. Elle voit également dans cette appréciation une violation de l' art. 839 al. 2 CC , soutenant que les travaux forment une unité du point de vue fonctionnel. Elle reproche enfin aux juges précédents une application arbitraire de l' art. 961 al. 3 CC .</w:t>
      </w:r>
    </w:p>
    <w:p>
      <w:r>
        <w:rPr>
          <w:b/>
        </w:rPr>
        <w:t>E. 4.1</w:t>
      </w:r>
    </w:p>
    <w:p>
      <w:r>
        <w:t>Aux termes de l' art. 961 al. 3 CC , le juge prononce après une procédure sommaire et permet l'inscription provisoire, si le droit allégué lui paraît exister.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 ATF 86 I 265 consid. 3 p. 270). A moins que le droit à la constitution de l'hypothèque n'existe clairement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de l'Ordonnance du 22 février 1910 sur le registre foncier (RS 211.432.1; ORF) (arrêt 5P.344/2005 du 23 décembre 2005 consid.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 ATF 102 Ia 81 consid. 2b/bb p. 86; Schmid, in Basler Kommentar, Zivilgesetzbuch, 3e éd. 2006, n° 15/16 ad art. 961 CC et les autres citations).</w:t>
      </w:r>
    </w:p>
    <w:p>
      <w:r>
        <w:rPr>
          <w:b/>
        </w:rPr>
        <w:t>E. 4.2</w:t>
      </w:r>
    </w:p>
    <w:p>
      <w:r>
        <w:t>Le Tribunal fédéral peut rectifier d'office les constatations de l'au-torité précédente si les faits ont été établis de façon manifestement inexacte ( art. 105 al. 2 LTF ).</w:t>
      </w:r>
    </w:p>
    <w:p>
      <w:r>
        <w:t>En l'espèce, il y a lieu de constater que, contrairement à ce qu'a retenu la cour cantonale, les intimés ne sont pas copropriétaires par étages, mais copropriétaires ordinaires, comme cela ressort des extraits du Registre foncier figurant au dossier. En outre, aux termes du contrat du 22 décembre 2005, le bureau d'ingénieur yyy SA est chargé de la direction des travaux; il s'agit donc d'un mandataire ( art. 101 CO ) et non d'un entrepreneur général (CHAIX, in Commentaire romand, Code des obligations, vol. I, nos 11 et 18 ad art. 363 CO ). Ainsi, la recourante est un entrepreneur et non un sous-traitant.</w:t>
      </w:r>
    </w:p>
    <w:p>
      <w:r>
        <w:rPr>
          <w:b/>
        </w:rPr>
        <w:t>E. 4.3</w:t>
      </w:r>
    </w:p>
    <w:p>
      <w:r>
        <w:t>Le contrat du 22 décembre 2005 a été signé par Groupe J.________ SA et I.________ en tant que maîtres de l'ouvrage; il indique que le bureau d'ingénieurs yyy SA a été désigné comme directeur des travaux adjugés. C'est ce bureau qui a signé, au nom des maîtres de l'ouvrage, le deuxième contrat des 21 décembre 2005 et 10 janvier 2006 avec la recourante. Ces deux contrats concernaient la construction des villas de la parcelle n° 1976 et les voies d'accès à celles-ci et devaient être exécutés par la même entreprise, à savoir la recourante. Dans ces circonstances, et dans le contexte particulier de l'inscription provisoire d'une hypothèque légale d'entrepreneurs, qui ne doit être refusée que si l'existence du droit à une inscription définitive est d'emblée exclue ou hautement invraisemblable, l'appréciation juridique de l'autorité cantonale est arbitraire. Quant à la motivation des juges précédents tirée du fait qu'il n'est pas rendu vraisemblable que le chemin piéton est situé dans les parties communes de la parcelle ou sur les parts de copropriété par étages, elle est sans pertinence dès lors que l'immeuble en cause est constitué en copropriété ordinaire et non en propriété par étages. Enfin, s'il est vraisemblable, comme l'admet la cour cantonale, que les travaux sur le chemin piéton du 7 juillet 2007 constituent l'achèvement du contrat du 22 décembre 2005, dont il est arbitraire de dire à ce stade, comme on l'a vu, qu'il ne forme pas un tout avec celui des 21 décembre 2005 et 10 janvier 2006, il ne peut être retenu sans arbitraire que le paiement par transaction de la créance y afférente le 28 avril 2009 aurait une incidence sur la date d'achèvement des travaux et sur le point de départ pour requérir l'inscription de l'hypothèque légale.</w:t>
      </w:r>
    </w:p>
    <w:p>
      <w:r>
        <w:rPr>
          <w:b/>
        </w:rPr>
        <w:t>E. 5</w:t>
      </w:r>
    </w:p>
    <w:p>
      <w:r>
        <w:t>Vu ce qui précède, le recours doit être admis et l'inscription provisoire des hypothèques légales des artisans et entrepreneurs ordonnée. Le Tribunal fédéral n'est toutefois pas en mesure de reprendre sans autre les chiffres indiqués dans ses conclusions par la recourante, qui n'expose pas comment elle a ventilé entre les copropriétaires le montant total dont l'inscription avait été requise à titre préprovisionnel et provisionnel. Il y a donc lieu de renvoyer la cause à la cour cantonale pour qu'elle détermine le montant de l'hypothèque légale qui doit être inscrite provisoirement sur chaque part de copropriété.</w:t>
      </w:r>
    </w:p>
    <w:p>
      <w:r>
        <w:t>Les intimés, qui succombent, supporteront les frais judiciaires, solidairement entre eux ( art. 66 al. 1 et 5 LTF ). Ils verseront en outre des dépens à la recourante ( art. 68 al. 1 et 4 LTF ). Enfin, la cause sera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