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774/2023 vom 12. Oktober 2023</w:t>
      </w:r>
    </w:p>
    <w:p>
      <w:r>
        <w:t>Bundesgericht, 2023-10-12, DE</w:t>
      </w:r>
    </w:p>
    <w:p>
      <w:r>
        <w:rPr>
          <w:b/>
        </w:rPr>
        <w:t xml:space="preserve">Quelle: </w:t>
      </w:r>
      <w:r>
        <w:t>https://mcp.opencaselaw.ch/entscheid/bger_5A_774_2023</w:t>
      </w:r>
    </w:p>
    <w:p>
      <w:r>
        <w:t>FR: TF 5A 774/2023 du 12 octobre 2023</w:t>
      </w:r>
    </w:p>
    <w:p>
      <w:r>
        <w:t>IT: TF 5A 774/2023 del 12 ottobre 2023</w:t>
      </w:r>
    </w:p>
    <w:p>
      <w:pPr>
        <w:pStyle w:val="Heading2"/>
      </w:pPr>
      <w:r>
        <w:t>Regeste</w:t>
      </w:r>
    </w:p>
    <w:p>
      <w:r>
        <w:t>Vorsorgliche Massnahmen (Ehescheidung) | 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eine vorsorgliche Massnahme im Sinn von Art. 98 BGG , so dass nur die Rüge der Verletzung verfassungsmässiger Rechte möglich ist. Es gilt somit das strenge Rügeprinzip im Sinn von Art. 106 Abs. 2 BGG . Das bedeutet, dass das Bundesgericht nur klar und detailliert erhobene und soweit möglich belegte Rügen prüft, während es auf ungenügend begründete Rügen und appellatorische Kritik am angefochtenen Entscheid nicht eintritt ( BGE 142 III 364 E. 2.4; 149 III 81 E. 1.3).</w:t>
      </w:r>
    </w:p>
    <w:p>
      <w:r>
        <w:rPr>
          <w:b/>
        </w:rPr>
        <w:t>E. 2</w:t>
      </w:r>
    </w:p>
    <w:p>
      <w:r>
        <w:t>Obwohl das Obergericht in der Rechtsmittelbelehrung ausdrücklich auf Art. 98 BGG hingewiesen hat, äussert sich der anwaltlich vertretene Beschwerdeführer in seiner über 30-seitigen Beschwerde ausschliesslich in appellatorischer und damit in ungenügender Weise; Verfassungsrügen werden weder explizit noch implizit erhoben.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Die Gerichtskosten sind dem Beschwerdeführer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