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5A_773/2020 vom 22. Dezember 2020</w:t>
      </w:r>
    </w:p>
    <w:p>
      <w:r>
        <w:t>Bundesgericht, 2020-12-22, FR</w:t>
      </w:r>
    </w:p>
    <w:p>
      <w:r>
        <w:rPr>
          <w:b/>
        </w:rPr>
        <w:t xml:space="preserve">Quelle: </w:t>
      </w:r>
      <w:r>
        <w:t>https://mcp.opencaselaw.ch/entscheid/bger_5A_773_2020</w:t>
      </w:r>
    </w:p>
    <w:p>
      <w:r>
        <w:t>FR: TF 5A_773/2020 du 22 décembre 2020</w:t>
      </w:r>
    </w:p>
    <w:p>
      <w:r>
        <w:t>IT: TF 5A_773/2020 del 22 dicembre 2020</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 supra consid. 2.1).</w:t>
      </w:r>
    </w:p>
    <w:p>
      <w:r>
        <w:rPr>
          <w:b/>
        </w:rPr>
        <w:t>E. 3.1</w:t>
      </w:r>
    </w:p>
    <w:p>
      <w:r>
        <w:t>Selon l' art. 82 al. 1 LP ,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142 III 720 consid. 4.1 et les références).</w:t>
      </w:r>
    </w:p>
    <w:p>
      <w:r>
        <w:t>Le poursuivi peut se prévaloir de tous les moyens de droit civil - exceptions ou objections - qui infirment la reconnaissance de dette, notamment les vices de la volonté au sens des art. 23 ss CO (arrêts 5A_892/2015 du 16 février 2016 consid. 4.3.1; 5A_652/2011 du 28 février 2012 consid. 3.2.2). Il n'a pas à apporter la preuve absolue (ou stricte) de ses moyens libératoires, mais seulement à les rendre vraisemblables, en principe par titre ( art. 254 al. 1 CPC ; ATF 145 III 20 consid. 4.1.2). Le juge n'a pas à être persuadé de l'existence des faits allégués; il doit, en se fondant sur des éléments objectifs, avoir l'impression qu'ils se sont produits, sans exclure pour autant la possibilité qu'ils se soient déroulés autrement ( ATF 142 III 720 consid. 4.1 et les arrêts cités). Le point de savoir si le recourant a rendu vraisemblable sa libération ressortit à l'appréciation des preuves,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(arrêt 5A_446/2018 du 25 mars 2019 consid. 4.2 et les références).</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 ATF 100 III 48 consid. 3) et ne fonde pas l'exception de chose jugée (</w:t>
      </w:r>
    </w:p>
    <w:p>
      <w:r>
        <w:t>res iudicata ) quant à l'existence de la créance ( ATF 136 III 583 consid. 2.3). La décision du juge de la mainlevée provisoire ne prive pas les parties du droit de soumettre à nouveau la question litigieuse au juge ordinaire ( art. 79 et 83 al. 2 LP ; ATF 136 III 528 consid. 3.2; arrêt 5A_450/2019 du 24 février 2020 consid. 3.1 et les autres références).</w:t>
      </w:r>
    </w:p>
    <w:p>
      <w:r>
        <w:rPr>
          <w:b/>
        </w:rPr>
        <w:t>E. 3.2</w:t>
      </w:r>
    </w:p>
    <w:p>
      <w:r>
        <w:t>Dans le cadre d'une procédure de mainlevée, la victime d'une erreur, d'un dol ou d'une crainte fondée ne peut simplement se prévaloir du fait qu'il a invoqué ce vice de la volonté dans le délai d'une année prévue à l' art. 31 CO . Il ne s'agit pas en effet d'un droit de révocation inconditionnelle. Le poursuivi doit au contraire rendre vraisemblable le vice de la volonté invoqué (cf.</w:t>
      </w:r>
    </w:p>
    <w:p>
      <w:r>
        <w:t>supra consid. 3.1; VEUILLET, in La mainlevée de l'opposition, 2017, n° 122 ad art. 82 LP ; STAEHELIN, in Basler Kommentar, SchKG I, 2ème éd. 2010, n° 97 ad art. 82 LP ). A moins qu'elles ne soient corroborées par des pièces qui accréditent la thèse soutenue, les simples allégations d'une partie n'ont à cet égard aucune valeur probante, même au niveau de la vraisemblance (cf. arrêt 5A_225/2010 du 2 novembre 2010 consid. 3.2 non publié aux ATF 136 III 583 ; GILLIÉRON, Poursuite pour dettes, faillite et concordat, 5ème éd. 2012, p. 199 n° 786).</w:t>
      </w:r>
    </w:p>
    <w:p>
      <w:r>
        <w:rPr>
          <w:b/>
        </w:rPr>
        <w:t>E. 4.1</w:t>
      </w:r>
    </w:p>
    <w:p>
      <w:r>
        <w:t>Invoquant une violation de l' art. 82 al. 2 LP , la recourante reproche aux juges cantonaux d'avoir considéré que les erreurs qu'elle avait invoquées ne constituaient que des erreurs sur les motifs, impropres à invalider la reconnaissance de dette produite par l'intimée à l'appui de sa requête de mainlevée. Il s'agissait au contraire d'erreurs essentielles. Elles avaient en effet une étroite connexité avec l'avance effectuée par l'intimée et étaient clairement reconnaissables pour elle. Contrairement à ce qu'avait considéré le Tribunal cantonal, le point de savoir si le refus de l'assurance-maladie était justifié ou non était pertinent dans le cadre de la relation contractuelle avec l'intimée: si l'assurance-maladie refusait de manière injustifiée ses prestations, cela avait une importance déterminante sur l'obligation de l'intimée de fournir ses propres prestations. C'était bien pour cette raison que celle-ci avait accepté de suspendre les démarches de recouvrement jusqu'à droit connu dans la procédure ouverte contre l'assureur maladie. Le lien entre l'erreur invoquée et l'objet du contrat était encore plus évident pour le deuxième motif d'invalidation - à savoir le fait que les prestations d'assurance auraient été fournies sans cause valable -, puisque l'erreur, dans ce cas, portait sur l'existence même du contrat. Si l'intimée avait réalisé en février 2018 qu'elle n'était plus liée par un contrat d'assurance envers la défunte, elle n'aurait rien versé du tout et il n'y aurait aucune obligation de rembourser quoi que ce soit. Cette situation était typiquement celle d'une erreur essentielle commune aux deux parties. L'hypothèse d'un prêt consenti par un membre de la famille ou un ami évoquée par les juges cantonaux n'avait rien à voir: l'intimée n'avait pas agi dans un but libéral, mais en exécution (supposée) d'un contrat d'assurance, lequel s'était avéré inexistant. L'intimée ne pouvait donc pas se fonder sur une reconnaissance de dette manifestement viciée pour obtenir la mainlevée.</w:t>
      </w:r>
    </w:p>
    <w:p>
      <w:r>
        <w:rPr>
          <w:b/>
        </w:rPr>
        <w:t>E. 4.2</w:t>
      </w:r>
    </w:p>
    <w:p>
      <w:r>
        <w:t>Ces considérations apparaissent dénuées de pertinence. Il ressort en effet des faits arrêtés par les juges cantonaux ( art. 105 al. 1 LTF ) que les allégations de la recourante en lien avec les erreurs essentielles qu'elle invoque se fondent uniquement sur les courriers adressés par son avocat à l'assurance-maladie en date des 24 janvier 2019, dont copie envoyée par pli du même jour à l'intimée, et 9 décembre 2019 (pièces 1, 2 et 10 du bordereau de la recourante du 17 mars 2020; arrêt attaqué, let. A p. 2; cf. ég. décision de 1ère instance, consid. 3 p. 4). Or, dès lors qu'il ne ressort pas de l'arrêt attaqué que la recourante se soit prévalue de pièces qui viendraient les corroborer et qu'elle n'émet aucun grief dûment motivé à l'encontre de l'état de fait cantonal, ces courriers doivent être traités comme des déclarations de partie. L'erreur essentielle ne peut en conséquence être considérée comme rendue vraisemblable sur cette base (cf.</w:t>
      </w:r>
    </w:p>
    <w:p>
      <w:r>
        <w:t>supra consid. 3.2) et c'est à juste titre que la mainlevée provisoire a été prononcée. Le moyen est infondé.</w:t>
      </w:r>
    </w:p>
    <w:p>
      <w:r>
        <w:rPr>
          <w:b/>
        </w:rPr>
        <w:t>E. 5</w:t>
      </w:r>
    </w:p>
    <w:p>
      <w:r>
        <w:t>En définitive, le recours est rejeté, aux frais de la recourante ( art. 66 al. 1 LTF ). L'intimée, qui n'a pas été invitée à se déterminer sur le fond du recours mais a obtenu gain de cause dans ses conclusions relatives à l'effet suspensif, a droit à une indemnité de dépens pour cette écriture,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