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772/2023 vom 8. Dezember 2023</w:t>
      </w:r>
    </w:p>
    <w:p>
      <w:r>
        <w:t>Bundesgericht, 2023-12-08, DE</w:t>
      </w:r>
    </w:p>
    <w:p>
      <w:r>
        <w:rPr>
          <w:b/>
        </w:rPr>
        <w:t xml:space="preserve">Quelle: </w:t>
      </w:r>
      <w:r>
        <w:t>https://mcp.opencaselaw.ch/entscheid/bger_5A_772_2023</w:t>
      </w:r>
    </w:p>
    <w:p>
      <w:r>
        <w:t>FR: TF 5A 772/2023 du 8 décembre 2023</w:t>
      </w:r>
    </w:p>
    <w:p>
      <w:r>
        <w:t>IT: TF 5A 772/2023 del 8 dicembre 2023</w:t>
      </w:r>
    </w:p>
    <w:p>
      <w:pPr>
        <w:pStyle w:val="Heading2"/>
      </w:pPr>
      <w:r>
        <w:t>Regeste</w:t>
      </w:r>
    </w:p>
    <w:p>
      <w:r>
        <w:t>Zahlungsbefehl | Schuldbetreibungs- und Konkursrecht</w:t>
      </w:r>
    </w:p>
    <w:p>
      <w:pPr>
        <w:pStyle w:val="Heading2"/>
      </w:pPr>
      <w:r>
        <w:t>Erwägungen</w:t>
      </w:r>
    </w:p>
    <w:p>
      <w:r>
        <w:rPr>
          <w:b/>
        </w:rPr>
        <w:t>E. 1.1</w:t>
      </w:r>
    </w:p>
    <w:p>
      <w:r>
        <w:t>Entscheide kantonaler Aufsichtsbehörden in Schuldbetreibungs- und Konkurssachen unterliegen unabhängig eines Streitwertes und ihrer Bezeichnung der Beschwerde in Zivilsachen ( Art. 19 SchKG i.V.m. Art. 72 Abs. 2 lit. a, Art. 74 Abs. 2 lit. c und Art. 75 Abs. 1 BGG ). Die Beschwerde gegen die Zustellung des Zahlungsbefehls ist fristgerecht erhoben worden und unter Vorbehalt hinreichender Begründung zulässig.</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w:t>
      </w:r>
    </w:p>
    <w:p>
      <w:r>
        <w:t>Der von der Beschwerdeführerin beanstandete Zahlungsbefehl weist nach den vorinstanzlichen Feststellungen den Stempel des Betreibungsamtes Zug und eine eingescannte Unterschrift der Leiterin des Betreibungsamtes auf. Die Beschwerdeführerin bringt vor, der Zahlungsbefehl enthalte in Abweichung von Art. 6 der Verordnung vom 5. Juni 1996 über die im Betreibungs- und Konkursverfahren zu verwendenden Formulare und Register sowie die Rechnungsführung (VFRR; SR 281.31) lediglich eine mitgedruckte Unterschrift und hätte von der Vorinstanz daher als unverbindlicher Entwurf betrachtet werden müssen. Der Wortlaut des Verordnungsartikels sei klar. Entweder sei eine eigenhändige Unterschrift zu leisten oder ein physischer Stempel zu nutzen. Die Rüge erweist sich als unbegründet. Gemäss Art. 69 Abs. 1 SchKG erlässt das Betreibungsamt nach Empfang des Betreibungsbegehrens den Zahlungsbefehl. Art. 6 VFRR bestimmt, dass die Formulare - zu denen auch der Zahlungsbefehl gehört - von den nach den kantonalen Vorschriften hierzu befugten Beamten oder Angestellten des Betreibungs- bzw. Konkursamts zu unterzeichnen sind und dabei Faksimilestempel verwendet werden dürfen. Dabei meint der Begriff des "Stempels" nicht nur einen unter Verwendung eines Stempelwerkzeuges manuell angebrachten Stempel. Die Zulassung von Faksimilestempeln in Art. 6 VFRR bezieht sich vielmehr auch auf digitalisierte Unterschriften (Urteil 5A_873/2022 vom 23. Januar 2023 E. 2.3). Damit in Einklang steht die Weisung der Dienststelle Oberaufsicht für Schuldbetreibung und Konkurs Nr. 3 bezüglich Zahlungsbefehl 2016 und weitere Formulare, welche ebenfalls vorsieht, dass anstelle der eigenhändigen Unterschrift eines hierzu befugten Beamten oder Angestellten des Betreibungsamts eine Faksimileunterschrift zulässig ist (Ziff. 21). Zu Recht hat die Vorinstanz daher festgehalten, dass die Faksimileunterschrift auf dem Zahlungsbefehl nicht mit einem physischen Stempel angebracht werden muss, sondern - was heutzutage die Regel ist - auch digital erstellt und dann ausgedruckt werden kann. Soweit die Beschwerdeführerin sodann die Vermutung äussert, die Amtsvorsteherin habe bei der Ausfertigung des Zahlungsbefehls Nr. xxx gar nicht mitgewirkt, ist mit der Vorinstanz in Ermangelung rechtsgenüglich begründeter Sachverhaltsrügen ( Art. 97 Abs. 1 BGG ; BGE 140 III 16 E. 1.3.1, 264 E. 2.3) davon auszugehen, dass die Amtsvorsteherin am 28. August 2023 - dem Tag der Ausstellung des Zahlungsbefehls - anwesend war. Dass die Verwendung ihrer eingescannten Unterschrift nicht mit ihrem Einverständnis erfolgt wäre, wurde von keiner Seite behauptet. Auch insoweit ist der Schluss der Vorinstanz, der Zahlungsbefehl sei korrekt erstellt worden, nicht zu beanstanden.</w:t>
      </w:r>
    </w:p>
    <w:p>
      <w:r>
        <w:rPr>
          <w:b/>
        </w:rPr>
        <w:t>E. 3</w:t>
      </w:r>
    </w:p>
    <w:p>
      <w:r>
        <w:t>Die Beschwerdeführerin rügt, der angefochtene obergerichtliche Entscheid sei nichtig oder zumindest ungültig, weil bei den Unterschriften in Druckbuchstaben nicht auch der vollständige Vorname des Oberrichters bzw. Gerichtsschreibers wiedergegeben worden sei. Sie zeigt aber nicht auf, welche (kantonale) Norm die Angabe der Vornamen der beteiligten Personen als Gültigkeitserfordernis eines Urteils verlangen soll (vgl. auch Urteil 9C_72/2023 vom 8. Februar 2023 E. 2.2.1).</w:t>
      </w:r>
    </w:p>
    <w:p>
      <w:r>
        <w:rPr>
          <w:b/>
        </w:rPr>
        <w:t>E. 4</w:t>
      </w:r>
    </w:p>
    <w:p>
      <w:r>
        <w:t>Aus den dargelegten Gründen ist die Beschwerde abzuweisen, soweit darauf einzutreten ist. Als unterliegende Partei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