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5A_771/2025 vom 17. September 2025</w:t>
      </w:r>
    </w:p>
    <w:p>
      <w:r>
        <w:t>Bundesgericht, 2025-09-17, DE</w:t>
      </w:r>
    </w:p>
    <w:p>
      <w:r>
        <w:rPr>
          <w:b/>
        </w:rPr>
        <w:t xml:space="preserve">Quelle: </w:t>
      </w:r>
      <w:r>
        <w:t>https://mcp.opencaselaw.ch/entscheid/bger_5A_771_2025</w:t>
      </w:r>
    </w:p>
    <w:p>
      <w:r>
        <w:t>FR: TF 5A_771/2025 du 17 septembre 2025</w:t>
      </w:r>
    </w:p>
    <w:p>
      <w:r>
        <w:t>IT: TF 5A_771/2025 del 17 settembre 2025</w:t>
      </w:r>
    </w:p>
    <w:p>
      <w:pPr>
        <w:pStyle w:val="Heading2"/>
      </w:pPr>
      <w:r>
        <w:t>Erwägungen</w:t>
      </w:r>
    </w:p>
    <w:p>
      <w:r>
        <w:rPr>
          <w:b/>
        </w:rPr>
        <w:t>E. 1</w:t>
      </w:r>
    </w:p>
    <w:p>
      <w:r>
        <w:t>Bei vorsorglichen Massnahmen sind einzig Verfassungsrügen möglich ( Art. 98 BGG ), für welche das strenge Rügeprinzip gilt ( Art. 106 Abs. 2 BGG ). Dies bedeutet, dass das Bundesgericht nur klar und detailliert erhobene und soweit möglich belegte Rügen prüft, während es auf ungenügend begründete Rügen und rein appellatorische Kritik am angefochtenen Entscheid nicht eintritt ( BGE 142 III 364 E. 2.4; 149 III 81 E. 1.3). Sodann ist zu beachten, dass das Obergericht auf das Rechtsmittel des Beschwerdeführers mangels hinreichender Begründung nicht eingetreten ist und deshalb Anfechtungsgegenstand im bundesgerichtlichen Verfahren grundsätzlich nur die Frage bilden kann, ob es zu Recht einen Nichteintretensentscheid gefällt hat ( BGE 135 II 38 E. 1.2; 139 II 233 E. 3.2). Hierauf haben sich die Verfassungsrügen zu beziehen.</w:t>
      </w:r>
    </w:p>
    <w:p>
      <w:r>
        <w:rPr>
          <w:b/>
        </w:rPr>
        <w:t>E. 2</w:t>
      </w:r>
    </w:p>
    <w:p>
      <w:r>
        <w:t>Der Beschwerdeführer reicht eine identische Beschwerdeschrift ein wie im Parallelverfahren 5A_772/2025 und er nimmt kaum einen konkreten Bezug auf die Erwägungen des angefochtenen Entscheides. Er macht wiederholt geltend, wie extrem dringlich die ganze Angelegenheit sei, aber er zeigt nicht mit substanziierten Rügen auf, inwiefern die obergerichtlichen Nichteintretenserwägungen, wonach er sich im Berufungsverfahren nicht mit den erstinstanzlichen Kernerwägungen, der Beschwerdeführer lege nicht schlüssig dar, inwiefern der Beschwerdegegner über die genannten Daten verfüge solle, und es bestünden keine Indizien für eine drohende Rechtsverletzung (namentlich eine unmittelbar drohende Preisgabe von Daten an Dritte), auseinandergesetzt habe, gegen verfassungsmässige Rechte verstossen soll. Zwar ruft er mit weitschweifigen Ausführungen zahlreiche verfassungsmässige Rechte als verletzt an, aber er zeigt nicht auf, inwiefern er sich entgegen den vorinstanzlichen Erwägungen im Berufungsverfahren mit der erwähnten erstinstanzlichen Entscheidbegründung in sachgerichteter Weise auseinandergesetzt hätte. Unzutreffend ist sodann die Behauptung, das Obergericht hätte ihn gestützt auf Art. 56 ZPO bei der richtigen Einordnung all seiner Vorbringen unterstützen müssen; vielmehr wäre es am Beschwerdeführer gewesen, die Berufungsgründe darzulegen ( Art. 310 lit. a und 311 Abs. 1 ZPO ), weshalb in diesem Kontext auch die Gehörsrügen an der Sache vorbeigehen und ebenso wenig überspitzter Formalismus erkennbar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werden die Gesuche um aufschiebende Wirkung bzw. Erlass vorsorglicher Massnahmen gegenstandslos.</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