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771/2024 vom 4. Februar 2025</w:t>
      </w:r>
    </w:p>
    <w:p>
      <w:r>
        <w:t>Bundesgericht, 2025-02-04, FR</w:t>
      </w:r>
    </w:p>
    <w:p>
      <w:r>
        <w:rPr>
          <w:b/>
        </w:rPr>
        <w:t xml:space="preserve">Quelle: </w:t>
      </w:r>
      <w:r>
        <w:t>https://mcp.opencaselaw.ch/entscheid/bger_5A_771_2024</w:t>
      </w:r>
    </w:p>
    <w:p>
      <w:r>
        <w:t>FR: TF 5A 771/2024 du 4 février 2025</w:t>
      </w:r>
    </w:p>
    <w:p>
      <w:r>
        <w:t>IT: TF 5A 771/2024 del 4 febbraio 2025</w:t>
      </w:r>
    </w:p>
    <w:p>
      <w:pPr>
        <w:pStyle w:val="Heading2"/>
      </w:pPr>
      <w:r>
        <w:t>Regeste</w:t>
      </w:r>
    </w:p>
    <w:p>
      <w:r>
        <w:t>mesures provisionnelles de divorce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prise sur mesures provisionnelles dans le cadre d'une procédure de divorce, à savoir une décision finale ( art. 90 LTF ; ATF 134 III 426 consid. 2.2), rendue sur recours par une autorité supérieure statuant en dernière instance cantonale ( art. 75 al. 1 et 2 LTF ), dans une affaire civile ( art. 72 al. 1 LTF ). Contrairement à ce que soutient la recourante, il s'agit d'une affaire de nature pécuniaire dès lors que ses conclusions poursuivent en définitive et principalement un but économique (cf. ATF 144 III 310 consid. 1.1). La valeur litigieuse requise est atteinte ( art. 74 al. 1 let. b LTF ). Le recours est donc en principe recevable au regard des dispositions qui précèdent.</w:t>
      </w:r>
    </w:p>
    <w:p>
      <w:r>
        <w:rPr>
          <w:b/>
        </w:rPr>
        <w:t>E. 2.1</w:t>
      </w:r>
    </w:p>
    <w:p>
      <w:r>
        <w:t>La décision entreprise porte sur des mesures provisionnelles au sens de l' art. 98 LTF ( ATF 149 III 81 consid. 1.3; 133 III 393 consid. 5, 585 consid. 3.3), de sorte que la partie recourante ne peut dénoncer qu'une violation de ses droits constitutionnels. Le Tribunal fédéral n'examine de tels griefs que s'ils ont été invoqués et motivés (" principe d'allégation ";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rPr>
          <w:b/>
        </w:rPr>
        <w:t>E. 3</w:t>
      </w:r>
    </w:p>
    <w:p>
      <w:r>
        <w:t>Dans un grief de nature formelle qu'il convient d'examiner en premier lieu, la recourante fait valoir que la décision attaquée souffre d'un défaut de motivation, de sorte qu'elle contrevient aux art. 29 al. 2 Cst. et 6 § 1 CEDH . La motivation de l'arrêt querellé ne remplirait " même pas une page " et la cour cantonale n'aurait ni cité, ni traité les griefs soulevés devant elle. Elle n'aurait en particulier même pas évoqué le grief de violation de la maxime des débats et aurait " marginalement " mentionné le terme " arbitraire ", sans prendre en considération l'argumentation qu'elle avait développée à ce sujet, en particulier concernant le prétendu accord des conjoints relatif au choix d'un courtier.</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5A_895/2022 du 17 juillet 2023 consid. 6.2.1). Relève en revanche de la violation du droit d'être entendu la motivation qui ne satisfait pas aux exigences minimales déduites de l' art. 29 al. 2 Cst. Pour y satisfaire,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En tant qu'elle reproche à la juridiction précédente de ne pas avoir évoqué le grief de violation de la maxime des débats soulevé dans son appel, la recourante se méprend. Cette critique a expressément été mentionnée au consid. 2.2 de l'arrêt cantonal ("A.________ s'en plaint en invoquant une violation de l' art. 55 CPC , soit de la maxime des débats") et rejetée au terme d'une motivation claire, la cour cantonale l'ayant considérée comme manifestement infondée pour le motif que les mesures provisionnelles rendues dans le cadre d'une procédure matrimoniale sont soumises non pas à la maxime des débats, mais à la maxime inquisitoire en vertu des art. 271, 272 et 276 al. 1 CPC . Quant au grief d'établissement arbitraire des faits soulevé en appel en lien avec l'existence d'un accord des conjoints sur le choix d'un courtier, il n'a pas non plus été ignoré. La cour cantonale l'a rejeté, jugeant qu'il n'était pas arbitraire de considérer un tel fait comme vraisemblable. Elle a par ailleurs suffisamment motivé sa décision sur ce point au regard des exigences de l' art. 29 al. 2 Cst. (cf. arrêt cantonal, consid. 2.2), de manière à ce que la recourante soit en mesure d'attaquer la décision querellée en connaissance de cause, ce qu'elle a du reste fait. Il s'ensuit que les griefs doivent être rejetés.</w:t>
      </w:r>
    </w:p>
    <w:p>
      <w:r>
        <w:rPr>
          <w:b/>
        </w:rPr>
        <w:t>E. 4</w:t>
      </w:r>
    </w:p>
    <w:p>
      <w:r>
        <w:t>La recourante expose avoir fait valoir, en appel, un grief de constatation arbitraire des faits, qu'elle reproduit dans son recours fédéral. Elle affirme en substance avoir démontré que l'autorité de première instance avait tenu compte de faits qui n'existaient pas et dont aucune preuve ne figurait au dossier, à savoir que les parties s'étaient mises d'accord sur le choix de l'agence D.________ ou E.________ SA, et qu'elle aurait dans sa requête de mesures provisionnelles conclu " à la désignation d'une tierce société", ce qui ne correspondait pas à la réalité et constituerait "une sorte d'invention de la première instance ". Ce faisant, la recourante omet manifestement que dans son recours au Tribunal fédéral, elle ne saurait s'en prendre à la motivation contenue dans le jugement de première instance, mais doit uniquement contester celle de l'arrêt rendu par l'autorité d'appel. En particulier, il lui appartenait de soulever un grief de rang constitutionnel en lien avec le raisonnement de la I e Cour d'appel civil et de le motiver de manière claire et détaillée (cf. supra consid. 2.1). La présente critique, au demeurant difficilement compréhensible, est donc irrecevable.</w:t>
      </w:r>
    </w:p>
    <w:p>
      <w:r>
        <w:rPr>
          <w:b/>
        </w:rPr>
        <w:t>E. 5</w:t>
      </w:r>
    </w:p>
    <w:p>
      <w:r>
        <w:t>La recourante soutient avoir soulevé en deuxième instance le grief de violation de l' art. 55 CPC et affirme que l'arrêt cantonal ne tient pas compte "du fardeau de l'allégation et de preuve de l'intimé au recours". Ce faisant, elle ne se prévaut d'aucun droit constitutionnel, de sorte que sa critique - qui semble au demeurant en partie dirigée contre le jugement de première instance - est irrecevable (cf. supra consid. 2.1).</w:t>
      </w:r>
    </w:p>
    <w:p>
      <w:r>
        <w:rPr>
          <w:b/>
        </w:rPr>
        <w:t>E. 6</w:t>
      </w:r>
    </w:p>
    <w:p>
      <w:r>
        <w:t>La recourante reproche à l'autorité d'appel de s'être, de façon "intenable", "simplement limitée à alléguer, malgré l'absence manifeste d'une convention dans le dossier, qu'il n'était pas arbitraire de considérer comme vraisemblable que les parties se seraient entendues sur les courtiers à aborder." Pour autant que cette critique doive être comprise comme un grief d'établissement arbitraire des faits dirigé à l'encontre de l'arrêt cantonal, elle est irrecevable faute de motivation répondant aux réquisits de l' art. 106 al. 2 LTF (cf. supra consid. 2.2). La recourante se limite en effet à affirmer qu'aucune convention ne figure au dossier, mais ne s'en prend pas de manière topique aux considérations de l'arrêt attaqué, dont il ressort qu'il était vraisemblable que les parties s'étaient entendues sur les courtiers à aborder, respectivement à mandater en cas d'accueil favorable de leurs conditions, pour le motif, en substance, qu'elles s'étaient rencontrées (par leurs mandataires) à ce propos le 19 juin 2024, que deux offres avaient ensuite été effectuées, que E.________ SA avait répondu par courriel du 4 juillet 2024 qu'elle acceptait ce mandat avec une commission de 2 %, et que l'époux avait signé le contrat de courtage établi par cette société, au contraire de l'épouse, qui n'avait par ailleurs pas précisé pour quelle raison elle avait refusé d'y donner suite et préféré solliciter une décision judiciaire.</w:t>
      </w:r>
    </w:p>
    <w:p>
      <w:r>
        <w:rPr>
          <w:b/>
        </w:rPr>
        <w:t>E. 7</w:t>
      </w:r>
    </w:p>
    <w:p>
      <w:r>
        <w:t>La recourante sollicite la réforme de l'arrêt entrepris, en ce sens que le bénéfice de l'assistance judiciaire pour la procédure d'appel lui est accordé. Cette conclusion étant dépourvue de toute motivation, elle est irrecevable ( art. 42 al. 2 LTF ).</w:t>
      </w:r>
    </w:p>
    <w:p>
      <w:r>
        <w:rPr>
          <w:b/>
        </w:rPr>
        <w:t>E. 8</w:t>
      </w:r>
    </w:p>
    <w:p>
      <w:r>
        <w:t>En définitive, le recours est rejeté dans la mesure de sa recevabilité. Dès lors qu'il était d'emblée dénué de chances de succès, la requête d'assistance judiciaire de la recourante - qui n'a au demeurant pas justifié de son indigence, ainsi qu'il lui incombait pourtant (arrêt 5A_663/2023 du 3 novembre 2023 consid. 3.3 et les références) - est rejetée ( art. 64 al. 1 LTF ). Les frais judiciaires sont mis à sa charge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