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771/2022 vom 5. April 2023</w:t>
      </w:r>
    </w:p>
    <w:p>
      <w:r>
        <w:t>Bundesgericht, 2023-04-05, FR</w:t>
      </w:r>
    </w:p>
    <w:p>
      <w:r>
        <w:rPr>
          <w:b/>
        </w:rPr>
        <w:t xml:space="preserve">Quelle: </w:t>
      </w:r>
      <w:r>
        <w:t>https://mcp.opencaselaw.ch/entscheid/bger_5A_771_2022</w:t>
      </w:r>
    </w:p>
    <w:p>
      <w:r>
        <w:t>FR: TF 5A 771/2022 du 5 avril 2023</w:t>
      </w:r>
    </w:p>
    <w:p>
      <w:r>
        <w:t>IT: TF 5A 771/2022 del 5 aprile 2023</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et 74 al. 1 let. b LTF).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Lorsque, comme en l'espèce, la décision attaquée porte sur des mesures provisionnelles au sens de l' art. 98 LTF ( ATF 133 III 393 consid. 5; arrêt 5A_395/2022 du 14 février 2023 consid. 2.1),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Le recourant reproche à la cour cantonale d'avoir violé le principe de la bonne foi et l'interdiction de l'arbitraire en considérant qu'il devait s'acquitter d'un arriéré de pensions pour la période allant du 1er avril au 31 décembre 2021.</w:t>
      </w:r>
    </w:p>
    <w:p>
      <w:r>
        <w:rPr>
          <w:b/>
        </w:rPr>
        <w:t>E. 3.1</w:t>
      </w:r>
    </w:p>
    <w:p>
      <w:r>
        <w:t>La juridiction précédente a retenu que, selon la convention signée par les parties le 31 mai 2021, le recourant s'était engagé à payer 1'840 fr. à titre de contribution d'entretien dès et y compris le 1er juin 2021 et jusqu'à la reprise de l'audience le 2 juillet 2021, et non pas pour toute la procédure de première instance, même si, dans les faits, il semblait avoir acquitté un tel montant également après l'audience du 2 juillet 2021. Il ne ressortait par ailleurs pas de la convention que les parties avaient souhaité fixer de manière définitive la contribution due pour les mois de juin et juillet 2021.</w:t>
      </w:r>
    </w:p>
    <w:p>
      <w:r>
        <w:rPr>
          <w:b/>
        </w:rPr>
        <w:t>E. 3.2</w:t>
      </w:r>
    </w:p>
    <w:p>
      <w:r>
        <w:t>Le recourant fait valoir que, comme il l'a " explicité à chaque étape de l'historique procédural ", il a accepté, lors de la conciliation entre les parties du 31 mai 2021, de verser à l'intimée une contribution d'entretien de 1'840 fr. dès le 1er juin 2021 durant toute la procédure de première instance et pour solde de tout compte. A l'instar des autres aspects de la séparation des parties, notamment la jouissance du domicile conjugal, il pouvait de bonne foi penser que l'accord conclu n'était pas limité dans le temps dès lors qu'il avait été ratifié par l'autorité de première instance et valait ordonnance partielle de mesures protectrices de l'union conjugale. Il avait d'ailleurs continué à s'acquitter du montant précité après l'audience du 2 juillet 2021, de sorte qu'il ne pouvait être retenu que la pension sur laquelle s'étaient accordées les parties n'était valable que jusqu'à cette date. Il avait ainsi pris des dispositions concrètes qui lui portaient indubitablement préjudice dès lors qu'il se voyait dans l'obligation de s'acquitter d'arriérés.</w:t>
      </w:r>
    </w:p>
    <w:p>
      <w:r>
        <w:rPr>
          <w:b/>
        </w:rPr>
        <w:t>E. 3.3.1</w:t>
      </w:r>
    </w:p>
    <w:p>
      <w:r>
        <w:t>Une convention sur mesures protectrices de l'union conjugale est une manifestation de volonté qui doit être interprétée selon les mêmes principes que les autres contrats (cf. arrêt 5A_372/2014 du 23 octobre 2014 consid. 2.3).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143 III 157 consid. 1.2.2; 142 III 239 consid. 5.2.1). Si elle aboutit, cette démarche conduit à une constatation de fait ( art. 105 al. 1 LTF ; ATF 142 III 239 consid. 5.2.1 et les références;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 ATF 144 III 43 consid. 3.3;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 ATF 136 III 186 consid. 3.2.1; 135 III 295 consid. 5.2 et les références; arrêt 4A_152/2021 du 20 décembre 2022 consid. 5.2.1).</w:t>
      </w:r>
    </w:p>
    <w:p>
      <w:r>
        <w:rPr>
          <w:b/>
        </w:rPr>
        <w:t>E. 3.3.2</w:t>
      </w:r>
    </w:p>
    <w:p>
      <w:r>
        <w:t>En l'occurrence, la cour cantonale a estimé que le recourant s'était engagé à payer 1'840 fr. à titre de contribution d'entretien dès et y compris le 1er juin 2021 et jusqu'à la reprise de l'audience le 2 juillet 2021. En d'autres termes, elle est parvenue à la conclusion que le texte de la clause litigieuse restituait le sens de l'accord conclu entre les parties. Il appartenait dès lors au recourant de démontrer, de manière conforme aux exigences de motivation de l' art. 106 al. 2 LTF , que la cour cantonale avait versé dans l'arbitraire en constatant la volonté des parties (cf. supra consid. 2.2 et 3.3.1). Or, le recourant, qui affirme de manière péremptoire avoir accepté de verser à l'épouse une contribution d'entretien de 1'840 fr. durant toute la procédure de première instance et pour solde de tout compte, se contente d'opposer sa propre appréciation de la clause litigieuse à celle de la cour cantonale. Ce faisant, il n'explique nullement pour quels motifs il conviendrait de s'écarter du texte clair de ladite clause, alors que celle-ci contient - contrairement aux autres clauses de la convention - une mention expresse de la durée de l'obligation prévue. On ne discerne par ailleurs pas en quoi le fait que le premier juge ait ratifié la convention serait de nature à soutenir son interprétation de la clause litigieuse. Les versements de 1'840 fr. qu'il affirme avoir effectués ultérieurement au 2 juillet 2021 ne sont pas non plus de nature à démontrer le caractère arbitraire de la décision querellée, dès lors qu'il n'apparaît pas ( art. 105 al. 1 LTF ; ATF 140 III 16 consid. 1.3.1) que l'intimée aurait retiré ou modifié sa conclusion initiale tendant au versement d'une pension de 20'000 fr. Enfin, le recourant ne soutient pas, a fortiori ne démontre pas, que le juge aurait omis de tenir compte des montants versés dans le calcul de l'arriéré dû, de sorte qu'il n'y a pas lieu d'examiner ce point. Infondés, les griefs du recourant doivent être rejetés dans la mesure de leur recevabilité.</w:t>
      </w:r>
    </w:p>
    <w:p>
      <w:r>
        <w:rPr>
          <w:b/>
        </w:rPr>
        <w:t>E. 4</w:t>
      </w:r>
    </w:p>
    <w:p>
      <w:r>
        <w:t>En conclusion, le recours est rejeté dans la mesure où il est recevable. Les frais judiciaires sont mis à la charge du recourant, qui succombe ( art. 66 al. 1 LTF ). Celui-ci versera à l'intimée des dépens (réduits)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