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5A_76/2026 vom 27. Januar 2026</w:t>
      </w:r>
    </w:p>
    <w:p>
      <w:r>
        <w:t>Bundesgericht, 2026-01-27, DE</w:t>
      </w:r>
    </w:p>
    <w:p>
      <w:r>
        <w:rPr>
          <w:b/>
        </w:rPr>
        <w:t xml:space="preserve">Quelle: </w:t>
      </w:r>
      <w:r>
        <w:t>https://mcp.opencaselaw.ch/entscheid/bger_5A_76_2026</w:t>
      </w:r>
    </w:p>
    <w:p>
      <w:r>
        <w:t>FR: TF 5A_76/2026 du 27 janvier 2026</w:t>
      </w:r>
    </w:p>
    <w:p>
      <w:r>
        <w:t>IT: TF 5A_76/2026 del 27 gennaio 2026</w:t>
      </w:r>
    </w:p>
    <w:p>
      <w:pPr>
        <w:pStyle w:val="Heading2"/>
      </w:pPr>
      <w:r>
        <w:t>Erwägungen</w:t>
      </w:r>
    </w:p>
    <w:p>
      <w:r>
        <w:rPr>
          <w:b/>
        </w:rPr>
        <w:t>E. 1</w:t>
      </w:r>
    </w:p>
    <w:p>
      <w:r>
        <w:t>Der Beschwerdeführer reicht seine Eingabe auf Englisch und damit nicht in einer Amtssprache ein, was unzulässig ist ( Art. 42 Abs. 1 BGG ). Eine Rückweisung zur Verbesserung erübrigt sich, weil auf die Beschwerde ohnehin nicht einzutreten ist (dazu E. 3 und 4).</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Im angefochtenen Entscheid wird der Schwächezustand sowie das selbstgefährdende Verhalten, die Erforderlichkeit der Unterbringung und die Eignung der Klinik unter Bezugnahme auf das erstellte Gutachten ausführlich behandelt. Damit und auch mit der fürsorgerischen Unterbringung allgemein setzt sich der Beschwerdeführer nicht auseinander. Er erwähnt einzig ausserhalb des möglichen Anfechtungsgegenstandes (fürsorgerische Unterbringung) stehende Punkte, indem er abstrakt festhält, er möchte von der Medikation in der Klinik befreit werden und er könne seine finanziellen Angelegenheiten ohne Beistandschaft erledigen. Es ist nicht ersichtlich, inwiefern mit dem abweisenden angefochtenen Entscheid betreffend die fürsorgerische Unterbringung Recht verletzt worden sein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