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5A_767/2019 vom 26. Februar 2020</w:t>
      </w:r>
    </w:p>
    <w:p>
      <w:r>
        <w:t>Bundesgericht, 2020-02-26, FR</w:t>
      </w:r>
    </w:p>
    <w:p>
      <w:r>
        <w:rPr>
          <w:b/>
        </w:rPr>
        <w:t xml:space="preserve">Quelle: </w:t>
      </w:r>
      <w:r>
        <w:t>https://mcp.opencaselaw.ch/entscheid/bger_5A_767_2019</w:t>
      </w:r>
    </w:p>
    <w:p>
      <w:r>
        <w:t>FR: TF 5A_767/2019 du 26 février 2020</w:t>
      </w:r>
    </w:p>
    <w:p>
      <w:r>
        <w:t>IT: TF 5A_767/2019 del 26 febbraio 2020</w:t>
      </w:r>
    </w:p>
    <w:p>
      <w:pPr>
        <w:pStyle w:val="Heading2"/>
      </w:pPr>
      <w:r>
        <w:t>Erwägungen</w:t>
      </w:r>
    </w:p>
    <w:p>
      <w:r>
        <w:rPr>
          <w:b/>
        </w:rPr>
        <w:t>E. 1.1</w:t>
      </w:r>
    </w:p>
    <w:p>
      <w:r>
        <w:t>Le recours a été déposé dans le délai légal ( art. 100 al. 1 LTF ) à l'encontre d'une décision finale ( art. 90 LTF ) rendue en matière de poursuite pour dettes et de faillite ( art. 72 al. 2 let. a LTF ) par une autorité cantonale de dernière instance statuant sur recours ( art. 75 al. 1 et 2 LTF ), dans une affaire pécuniaire dont la valeur litigieuse est supérieure à 30'000 fr. ( art. 74 al. 1 let. b LTF ). Les recourantes, qui ont été déboutées de leurs conclusions par la juridiction précédente, ont qualité pour recourir ( art. 76 al. 1 LTF ).</w:t>
      </w:r>
    </w:p>
    <w:p>
      <w:r>
        <w:rPr>
          <w:b/>
        </w:rPr>
        <w:t>E. 1.2</w:t>
      </w:r>
    </w:p>
    <w:p>
      <w:r>
        <w:t>En tant que les recourantes demandent que l'arrêt attaqué soit réformé en ce sens qu'elles sont les créancières de F.________ SA à concurrence de 809'614 fr., elles s'écartent des conclusions qu'elles ont formulées en appel, qui indiquent un montant de 799'614 fr. Ces conclusions augmentées sont dès lors irrecevables en raison de leur caractère nouveau ( art. 99 al. 2 LTF ; ATF 141 II 91 consid. 1.2; 136 V 362 consid. 3.4.2).</w:t>
      </w:r>
    </w:p>
    <w:p>
      <w:r>
        <w:rPr>
          <w:b/>
        </w:rPr>
        <w:t>E. 2.1</w:t>
      </w:r>
    </w:p>
    <w:p>
      <w:r>
        <w:t>Le recours en matière civile peut être formé pour violation du droit tel qu'il est délimité par les art. 95 s. LTF. Le Tribunal fédéral applique le droit d'office ( art. 106 al. 1 LTF ). Il ne connaît toutefois de la violation de droits fondamentaux que si un tel grief a été expressément invoqué et motivé de façon claire et détaillée par le recourant ("principe d'allégation", art. 106 al. 2 LTF ; ATF 142 II 369 consid. 2.1; 142 III 364 consid. 2.4).</w:t>
      </w:r>
    </w:p>
    <w:p>
      <w:r>
        <w:rPr>
          <w:b/>
        </w:rPr>
        <w:t>E. 2.2</w:t>
      </w:r>
    </w:p>
    <w:p>
      <w:r>
        <w:t>Le Tribunal fédéral statue sur la base des faits établis par la juridiction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Le recourant qui soutient que les faits ont été constatés d'une manière manifestement inexacte ( art. 97 al. 1 LTF ), c'est-à-dire arbitraire au sens de l' art. 9 Cst. ( ATF 143 I 310 consid. 2.2 et la référence), doit satisfaire au principe d'allégation susmentionné (cf.</w:t>
      </w:r>
    </w:p>
    <w:p>
      <w:r>
        <w:t>supra consid. 2.1). Il ne peut en particulier pas se borner à contredire les constatations litigieuses par ses propres allégations ou par l'exposé de sa propre appréciation des preuves; il doit indiquer de façon précise en quoi ces constatations sont arbitraires au sens de l' art. 9 Cst. Une critique des faits qui ne satisfait pas à cette exigence est irrecevable ( ATF 141 IV 249 consid. 1.3.1 et la référence).</w:t>
      </w:r>
    </w:p>
    <w:p>
      <w:r>
        <w:rPr>
          <w:b/>
        </w:rPr>
        <w:t>E. 3</w:t>
      </w:r>
    </w:p>
    <w:p>
      <w:r>
        <w:t>L'autorité cantonale a tout d'abord établi en fait, sur la base de l'expertise requise en première instance, que les actifs mobiliers avaient été cédés à 300'000 fr. alors qu'ils valaient 527'000 fr.</w:t>
      </w:r>
    </w:p>
    <w:p>
      <w:r>
        <w:t>Ensuite, elle a examiné si les conditions de l' art. 286 LP , d'une part, ou celles de l' art. 288 LP , d'autre part, étaient réalisées.</w:t>
      </w:r>
    </w:p>
    <w:p>
      <w:r>
        <w:t>S'agissant de l' art. 286 LP , l'autorité cantonale a établi en fait qu'il résultait du contrat de vente que le prix de 300'000 fr., alors que les actifs valaient 527'000 fr., était conditionné par la reprise des contrats des employés, des chantiers et des baux de la venderesse. Ainsi, selon l'expertise, l'intimée avait déboursé 338'825 fr. 86 de charges salariales supplémentaires pour la période de novembre 2010 à janvier 2011, 11'204 fr. 40 de primes de perte de gain maladie dès lors que, en raison de l'accord conclu avec I.________ le 26novembre 2010, elle avait dû reprendre des employés supplémentaires de G.________ Sàrl et en garder d'autres jusqu'à l'âge de la retraite, 9'677 fr. 50 à titre de part des treizièmes salaires dus par G.________ Sàrl et 3'870 fr. de charges sociales sur ces salaires; en lien avec les chantiers, elle avait payé 3'135 fr. 35 à titre de garanties d'assurances remises à des maîtres d'ouvrage, 2'653 fr. 60 et 60'894 fr. 55 en raison de dégâts et défauts causés par G.________ Sàrl; elle avait aussi exécuté des travaux sans rémunération en raison d'un acompte de 20'000 fr. déjà versé à G.________ Sàrl; elle avait en outre déboursé 1'720 fr. à titre de dépens au conseil d'une société en lien avec l'inscription d'une hypothèque légale, 1'620 fr. et 22'821 fr. 45 pour rémunérer des fournisseurs impayés, 84'718 fr. 40, 36'257 fr. 15, 7'531 fr. 05 et 25'000 fr. pour éteindre des dettes de G.________ Sàrl; enfin, elle avait subi une perte de 95'557 fr. 58 sur quatre chantiers de G.________ Sàrl. En outre, si l'expert avait chiffré l'indemnité pour la cession des chantiers à 100'000 fr., il n'avait articulé aucun chiffre s'agissant d'un éventuel profit en lien avec la reprise du personnel. En droit, l'autorité cantonale a alors jugé que, pour déterminer s'il existait une proportion notable entre les prestations, il ne suffisait pas de comparer le seul prix des machines de chantiers mais tous les éléments précités et que, au vu de ceux-ci, on ne pouvait nullement conclure à cette disproportion, les contreparties de l'intimée ayant été en réalité bien supérieures aux prestations de la venderesse. L'autorité cantonale a conclu que la révocation ne saurait être prononcée sur le base de l' art. 286 LP .</w:t>
      </w:r>
    </w:p>
    <w:p>
      <w:r>
        <w:t>S'agissant de l' art. 288 LP , l'autorité cantonale a établi que les éléments au dossier permettaient d'exclure, d'une part, que G.________ Sàrl avait l'intention de porter préjudice à ses créanciers et, d'autre part, que l'intimée avait connaissance d'une éventuelle intention dolosive de cette dernière. Elle s'est fondée sur le procès-verbal du 26 octobre 2010, dont il ressortait notamment que la venderesse estimait que l'offre était supérieure à la valeur estimée par l'expert eu égard à la reprise du personnel, et sur le témoignage de l'administrateur de l'intimée, dont l'intention était de soutenir la venderesse. L'autorité cantonale a conclu que la révocation ne pouvait pas non plus être prononcée sur le base de l' art. 288 LP .</w:t>
      </w:r>
    </w:p>
    <w:p>
      <w:r>
        <w:rPr>
          <w:b/>
        </w:rPr>
        <w:t>E. 4</w:t>
      </w:r>
    </w:p>
    <w:p>
      <w:r>
        <w:t>La question qui se pose est celle de savoir si la juridiction précédente a violé les art. 286 et 288 LP en niant l'existence d'un acte de disposition sujet à révocation.</w:t>
      </w:r>
    </w:p>
    <w:p>
      <w:r>
        <w:rPr>
          <w:b/>
        </w:rPr>
        <w:t>E. 4.1</w:t>
      </w:r>
    </w:p>
    <w:p>
      <w:r>
        <w:t>La révocation a pour but de soumettre à l'exécution forcée les biens qui lui ont été soustraits par suite d'un acte mentionné aux art. 286 à 288 LP ( art. 285 al. 1 LP ). Le procès se limite à l'examen de l'admissibilité d'une construction juridique de droit civil au regard du droit de l'exécution forcée ( ATF 143 III 167 consid. 3.3.4). Il incombe au demandeur de prouver les faits sur lesquels il fonde le motif de révocation invoqué ( ATF 137 III 268 consid. 4).</w:t>
      </w:r>
    </w:p>
    <w:p>
      <w:r>
        <w:rPr>
          <w:b/>
        </w:rPr>
        <w:t>E. 4.1.1</w:t>
      </w:r>
    </w:p>
    <w:p>
      <w:r>
        <w:t>En vertu de l' art. 286 LP , toute donation et toute disposition à titre gratuit, à l'exception des cadeaux usuels, sont révocables si elles ont été faites par le débiteur dans l'année qui précède la saisie ou la déclaration de faillite (al. 1); sont notamment assimilés aux donations les actes par lesquels le débiteur a accepté un prix notablement inférieur à la valeur de la prestation (al. 2 ch. 1).</w:t>
      </w:r>
    </w:p>
    <w:p>
      <w:r>
        <w:t>Les actes énumérés à l' art. 286 LP reposent sur des critères objectifs et sont ainsi révocables abstraction faite de la bonne ou mauvaise foi des protagonistes (arrêt 5A_668/2001 du 29 mai 2012 consid. 4.2.1, résumé</w:t>
      </w:r>
    </w:p>
    <w:p>
      <w:r>
        <w:t>in Pra 2012 p. 1622 et JdT 2013 II p. 150); en particulier, il n'est pas nécessaire que le débiteur ait eu l'intention de disposer à moindre prix, ni que le bénéficiaire ait reconnu la disproportion entre les prestations ( ATF 95 III 47 consid. 2; arrêt 5A_555/2011 consid. 2.2.4 et les autres références).</w:t>
      </w:r>
    </w:p>
    <w:p>
      <w:r>
        <w:t>Pour décider s'il y a disproportion notable entre les prestations, il faut se reporter au moment où l'acte incriminé a été passé - non à la date de la saisie ou de la déclaration de faillite -et rechercher quelle était alors la valeur vénale du bien dont le débiteur s'est dessaisi, à savoir celle qui aurait pu en être obtenue en procédant au mode de réalisation le plus avantageux. Les constatations relatives à la valeur vénale du bien aliéné, contrairement à la méthode d'estimation, relèvent du fait; le point de savoir si le prix accepté par le débiteur est notablement inférieur à la valeur de la prestation ressortit au droit (arrêt 5A_555/2011 du 16 mars 2012 consid. 2.3. et les références).</w:t>
      </w:r>
    </w:p>
    <w:p>
      <w:r>
        <w:rPr>
          <w:b/>
        </w:rPr>
        <w:t>E. 4.1.2</w:t>
      </w:r>
    </w:p>
    <w:p>
      <w:r>
        <w:t>Selon l' art. 288 al. 1 LP , sont révocables tous actes faits par le débiteur dans les cinq ans qui précèdent la saisie ou la déclaration de faillite dans l'intention reconnaissable par l'autre partie de porter préjudice à ses créanciers ou de favoriser certains créanciers au détriment des autres. Cette disposition suppose notamment l'intention du débiteur de causer ce préjudice (intention dolosive) et la possibilité pour le bénéficiaire de l'acte de reconnaître cette intention (caractère reconnaissable de l'intention dolosive) ( ATF 137 III 268 consid. 4; 136 III 247 consid. 3).</w:t>
      </w:r>
    </w:p>
    <w:p>
      <w:r>
        <w:rPr>
          <w:b/>
        </w:rPr>
        <w:t>E. 4.2</w:t>
      </w:r>
    </w:p>
    <w:p>
      <w:r>
        <w:t>En l'espèce, les griefs des recourantes doivent tous être rejetés, dans la faible mesure de leur recevabilité.</w:t>
      </w:r>
    </w:p>
    <w:p>
      <w:r>
        <w:rPr>
          <w:b/>
        </w:rPr>
        <w:t>E. 4.2.1</w:t>
      </w:r>
    </w:p>
    <w:p>
      <w:r>
        <w:t>S'agissant des griefs de fait, les recourantes citent certes l' art. 9 Cst. dans leur écriture. Elles ne présentent toutefois aucune critique qui réponde aux réquisits du principe d'allégation (cf.</w:t>
      </w:r>
    </w:p>
    <w:p>
      <w:r>
        <w:t>supra consid. 2.2). Elle se contentent en effet de soulever des questions ou d'exprimer leur désaccord sur l'établissement des faits, parfois même sans identifier que leur critique relève en réalité des faits. Ainsi, elles contestent, sans les nommer, les postes retenus en pages 9 et 10 de l'arrêt attaqué en se bornant à relever qu'il manquerait les éléments pour chiffrer un éventuel dommage. Elles se contentent aussi de prétendre que les offres de preuves présentées par l'intimée ne suffiraient pas à démontrer que celle-ci a dû surcharger ses chantiers pour occuper les employés qu'elle a repris, sans s'attaquer aux constatations de l'autorité cantonale sur les charges liées au personnel ainsi qu'à la reprise des chantiers, ni surtout sur l'absence de chiffre articulé s'agissant d'un éventuel profit en lien avec la reprise du personnel dans l'expertise.</w:t>
      </w:r>
    </w:p>
    <w:p>
      <w:r>
        <w:rPr>
          <w:b/>
        </w:rPr>
        <w:t>E. 4.2.2</w:t>
      </w:r>
    </w:p>
    <w:p>
      <w:r>
        <w:t>S'agissant des griefs de droit, soit la violation des art. 286 et 288 LP , en tant que les recourantes soutiennent que l'autorité cantonale a méconnu que la révocation " doit tomber indépendamment de ce qui s'est passé le 1</w:t>
      </w:r>
    </w:p>
    <w:p>
      <w:r>
        <w:t>er novembre 2010" et que l' " on doit se placer ' au moment où l'acte incriminé a été passé ' pour juger de l'applicabilité de l' art. 286 LP ", elles ne peuvent pas être suivies. En effet, outre que leur critique est des plus vagues sur les éléments dont elles font mention, elles n'attaquent pas l'interprétation du contrat de vente qu'a faite l'autorité cantonale que ce soit sur les prestations qui se trouvaient dans un rapport synallagmatique, ou sur le complètement et la modification de ce contrat suite à l'accord du 26 novembre 2010 conclu avec un syndicat sur le passage des employés de la faillie auprès de l'intimée, la reprise des employés étant une prestation à exécuter selon le contrat de vente. En tant qu'elles reprochent à l'autorité cantonale d'avoir analysé les intentions des parties lors de la conclusion du contrat de vente au lieu de ne s'intéresser qu'à la disproportion des prestations, elles se méprennent sur la motivation attaquée: cette analyse ne portait, à juste titre, que sur l' art. 288 LP qui exige la réalisation de cette condition pour trouver application, et non sur celle de l' art. 286 LP .</w:t>
      </w:r>
    </w:p>
    <w:p>
      <w:r>
        <w:rPr>
          <w:b/>
        </w:rPr>
        <w:t>E. 5</w:t>
      </w:r>
    </w:p>
    <w:p>
      <w:r>
        <w:t>En définitive, le recours doit être rejeté dans la très faible mesure de sa recevabilité. Les frais judiciaires, arrêtés à 10'000 fr., sont donc mis à la charge des recourantes, solidairement entre elles ( art. 66 al. 1 et 5 LTF ). Il n'y a pas lieu d'octroyer une indemnité de dépens à l'intimée, qui n'a pas été invitée à se déterminer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