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5A_766/2025 vom 17. September 2025</w:t>
      </w:r>
    </w:p>
    <w:p>
      <w:r>
        <w:t>Bundesgericht, 2025-09-17, DE</w:t>
      </w:r>
    </w:p>
    <w:p>
      <w:r>
        <w:rPr>
          <w:b/>
        </w:rPr>
        <w:t xml:space="preserve">Quelle: </w:t>
      </w:r>
      <w:r>
        <w:t>https://mcp.opencaselaw.ch/entscheid/bger_5A_766_2025</w:t>
      </w:r>
    </w:p>
    <w:p>
      <w:r>
        <w:t>FR: TF 5A_766/2025 du 17 septembre 2025</w:t>
      </w:r>
    </w:p>
    <w:p>
      <w:r>
        <w:t>IT: TF 5A_766/2025 del 17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Beschwerdeführer setzen sich mit den ausführlichen Erwägungen des 15-seitigen Entscheides nicht auseinander, sondern rügen abstrakt und ohne konkrete Bezugnahme auf diese, dass die Errichtung einer Beistandschaft gegen Art. 8 und 13 BV verstosse, dass mangels einer erheblichen Gefährdung eine Verletzung des Verhältnismässigkeitsprinzips gemäss Art. 5 Abs. 2 BV vorliege, dass sich das Kantonsgericht einseitig auf Polizeiberichte und Aussagen Dritter stützte, welche unkritisch übernommen würden, und dass mangels Begründungstiefe der Anspruch auf rechtliches Gehör nach Art. 29 Abs. 2 BV verletzt sei.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Mit dem sofortigen Entscheid in der Sache wird das Gesuch um aufschiebende Wirkung gegenstandslos.</w:t>
      </w:r>
    </w:p>
    <w:p>
      <w:r>
        <w:rPr>
          <w:b/>
        </w:rPr>
        <w:t>E. 5</w:t>
      </w:r>
    </w:p>
    <w:p>
      <w:r>
        <w:t>Die Gerichtskosten sind den Beschwerdeführern unter solidarischer Haftbarkeit aufzuerlegen ( Art. 66 Abs. 1 und 5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