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765/2021 vom 8. März 2022</w:t>
      </w:r>
    </w:p>
    <w:p>
      <w:r>
        <w:t>Bundesgericht, 2022-03-08, DE</w:t>
      </w:r>
    </w:p>
    <w:p>
      <w:r>
        <w:rPr>
          <w:b/>
        </w:rPr>
        <w:t xml:space="preserve">Quelle: </w:t>
      </w:r>
      <w:r>
        <w:t>https://mcp.opencaselaw.ch/entscheid/bger_5A_765_2021</w:t>
      </w:r>
    </w:p>
    <w:p>
      <w:r>
        <w:t>FR: TF 5A 765/2021 du 8 mars 2022</w:t>
      </w:r>
    </w:p>
    <w:p>
      <w:r>
        <w:t>IT: TF 5A 765/2021 del 8 marzo 2022</w:t>
      </w:r>
    </w:p>
    <w:p>
      <w:pPr>
        <w:pStyle w:val="Heading2"/>
      </w:pPr>
      <w:r>
        <w:t>Regeste</w:t>
      </w:r>
    </w:p>
    <w:p>
      <w:r>
        <w:t>Persönlicher Verkehr | Familienrecht</w:t>
      </w:r>
    </w:p>
    <w:p>
      <w:pPr>
        <w:pStyle w:val="Heading2"/>
      </w:pPr>
      <w:r>
        <w:t>Erwägungen</w:t>
      </w:r>
    </w:p>
    <w:p>
      <w:r>
        <w:rPr>
          <w:b/>
        </w:rPr>
        <w:t>E. 1.1.1</w:t>
      </w:r>
    </w:p>
    <w:p>
      <w:r>
        <w:t>Angefochten ist der Endentscheid ( Art. 90 BGG ) einer letzten kantonalen Instanz, die als oberes Gericht ( Art. 75 BGG ) über eine Besuchsrechtsregelung und die Anordnung einer Besuchsrechtsbeistandschaft entschieden hat. Für diese nicht vermögensrechtliche Zivilsache ( Art. 72 Abs. 1 BGG ) bzw. öffentlich-rechtliche Angelegenheit in engem Zusammenhang mit Zivilrecht (Art. 72 Abs. 2 lit. b Ziff. 6 BGG) gilt kein Streitwerterfordernis. Der Beschwerdeführer ist zur Beschwerde legitimiert ( Art. 76 Abs. 1 BGG ) und hat diese rechtzeitig erhoben ( Art. 100 Abs. 1 BGG ). Die Beschwerde ist damit grundsätzlich zulässig.</w:t>
      </w:r>
    </w:p>
    <w:p>
      <w:r>
        <w:rPr>
          <w:b/>
        </w:rPr>
        <w:t>E. 1.1.2</w:t>
      </w:r>
    </w:p>
    <w:p>
      <w:r>
        <w:t>Anfechtungsgegenstand ist der Entscheid des Obergerichts vom 17. August 2021. Dieser ersetzt den Entscheid der KESB vom 17. Dezember 2020. Obwohl der Beschwerdeführer bloss die Aufhebung des Entscheids der KESB vom 17. Dezember 2020 verlangt, ergibt sich aus der Beschwerdebegründung, dass er den Entscheid des Obergerichts anficht. Die Beschwerde wird in diesem Sinne entgegengenommen. Hingegen kann auf das als Teil des Hauptbegehrens gegen die KESB gerichtete Feststellungsbegehren und auf sämtliche Ausführungen, mit welchen der Beschwerdeführer den Entscheid der KESB als rechtsfehlerhaft auszuweisen versucht, nicht eingetreten werden.</w:t>
      </w:r>
    </w:p>
    <w:p>
      <w:r>
        <w:rPr>
          <w:b/>
        </w:rPr>
        <w:t>E. 1.1.3</w:t>
      </w:r>
    </w:p>
    <w:p>
      <w:r>
        <w:t>Wie bereits im kantonal oberinstanzlichen Verfahren bezeichnet der Beschwerdeführer die KESB als Beschwerdegegnerin. Einer KESB kommt im Verfahren vor der gerichtlichen Beschwerdeinstanz grundsätzlich keine Parteistellung zu. Das Bundesgericht betrachtet die verfügende Behörde im Verfahren der Beschwerde in Zivilsachen mit öffentlich-rechtlichem Einschlag (insbesondere Art. 72 Abs. 2 lit. b Ziff. 6 BGG) nicht als Partei, sondern führt sie im Rubrum unter der Rubrik "Verfahrensbeteiligte" oder "verfügende Behörde" auf, ohne sie als Beschwerdegegnerin zu bezeichnen ( BGE 141 III 353 E. 4.2).</w:t>
      </w:r>
    </w:p>
    <w:p>
      <w:r>
        <w:rPr>
          <w:b/>
        </w:rPr>
        <w:t>E. 1.1.4</w:t>
      </w:r>
    </w:p>
    <w:p>
      <w:r>
        <w:t>Aus dem angefochtenen Entscheid lassen sich keine Anträge betreffend das gemeinsame Sorgerecht sowie auf Zuspruch einer Genugtuung an den Sohn entnehmen und der Beschwerdeführer erhebt diesbezüglich keine Sachverhaltsrügen. Diese Begehren sind daher neu und somit unzulässig ( Art. 99 Abs. 2 BGG ).</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 142 I 99 E. 1.7.1; 140 III 86 E. 2; je mit Hinweisen). Sie soll in der Beschwerdeschrift nicht bloss die Rechtsstandpunkte, die sie im kantonalen Verfahren eingenommen hat, erneut bekräftigen ( BGE 140 III 115 E. 2 mit Hinweis). Die Begründung hat ferner in der Beschwerdeschrift selbst zu erfolgen und der blosse Verweis auf Ausführungen in anderen Rechtsschriften oder auf die Akten reicht nicht aus ( BGE 140 III 115 E. 2 mit Hinweis).</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147 IV 73 E. 4.1.2; 141 IV 317 E. 5.4, 249 E. 1.3.1; 140 III 264 E. 2.3; je mit Hinweisen). Tatfrage ist auch die Beweiswürdigung. Die Anfechtung der diesbezüglichen vorinstanzlichen Feststellungen unterliegt ebenfalls der qualifizierten Begründungspflicht ( BGE 146 I 240 E. 8.2; Urteil 5A_907/2019 vom 27. August 2021 E. 2.2 mit Hinweis). Über gut fünfzehn Seiten schildert der Beschwerdeführer detailreich einen Sachverhalt aus seiner Sicht. Soweit dieser von jenem abweicht, den das Obergericht festgestellt hat, ohne dass der Beschwerdeführer eine wirksame Willkürrüge erhebt, bleiben seine Ausführungen unbeachtet.</w:t>
      </w:r>
    </w:p>
    <w:p>
      <w:r>
        <w:rPr>
          <w:b/>
        </w:rPr>
        <w:t>E. 2</w:t>
      </w:r>
    </w:p>
    <w:p>
      <w:r>
        <w:t>In der Hauptsache beantragt der Beschwerdeführer die Weiterführung der zwischen den Eltern am 2. August 2016 vereinbarten Besuchsrechtsregelung.</w:t>
      </w:r>
    </w:p>
    <w:p>
      <w:r>
        <w:rPr>
          <w:b/>
        </w:rPr>
        <w:t>E. 2.1</w:t>
      </w:r>
    </w:p>
    <w:p>
      <w:r>
        <w:t>Zu dieser Frage erwog das Obergericht, bei Abschluss der Besuchsregelung vom 2. August 2016 sei der Sohn knapp fünf Jahre alt gewesen. Zwischenzeitlich sei er fast zehn Jahre alt geworden und sein Alltag, seine Bedürfnisse und Gewohnheiten hätten sich naturgemäss verändert. Dessen sei sich auch der Beschwerdeführer bewusst, denn er äussere selber die Ansicht, dass die Regelung von 2016/2017 nur mit Änderungen aufgrund der Schule und Freizeit des Sohnes, also in angepasster Form fortgeführt werden könne. Die ursprüngliche Regelung spiegle nicht die Gegenwart wider. Damit dränge sich eine neue Besuchsregelung auf. Die Neuregelung habe insbesondere deshalb durch die KESB zur Wahrung des Kindeswohls angeordnet werden müssen, weil sich die Eltern trotz intensiver Bemühungen nicht über die notwendigen Anpassungen der bisherigen Besuchsregelungen hätten einigen können. Darüber hinaus hätten sowohl die Beschwerdegegnerin mit ihrer Forderung nach einem Besuchsrechtsbeistand als auch der Sohn eine Anpassung des Besuchsrechts verlangt. Damit sei die Beschwerde im Hauptantrag (Weiterführung der Besuchsrechtsregelung 2016/2017) abzuweisen.</w:t>
      </w:r>
    </w:p>
    <w:p>
      <w:r>
        <w:rPr>
          <w:b/>
        </w:rPr>
        <w:t>E. 2.2</w:t>
      </w:r>
    </w:p>
    <w:p>
      <w:r>
        <w:t>Der Beschwerdeführer erhebt in mehrfacher Hinsicht Sachverhaltsrügen, die allesamt an der Sache vorbei zielen: So rügt er mehrfach, die Vorinstanz habe die Vorgänge, die Anlass zum Verfahren gegeben haben, das letztlich in einer neuen Besuchsrechtsregelung gemündet hat, nicht vollständig abgeklärt und auch weitere Umstände nicht berücksichtigt. Er zeigt jedoch nicht auf, inwiefern die Behebung der behaupteten Mängel für den Ausgang des Verfahrens entscheidend sein könnten (vgl. E. 1.3). Wie die vorstehend wiedergegebenen Erwägungen des Obergerichts aufzeigen, wird die Neuregelung des Besuchsrechts nicht mit der Vorgeschichte und den in diesem Zusammenhang im Raum stehenden, an den Beschwerdeführer gerichteten und von diesem bestrittenen Vorwürfen (er garantiere keinen genügenden Schutz vor sexuellen Übergriffen durch jugendliche Dritte) begründet, sondern allgemein mit den Veränderungen der Verhältnisse im Vergleich zu 2016/2017 (Alter des Kindes; die damit zusammenhängenden Veränderungen seiner Bedürfnisse und Gewohnheiten punkto Schule und Freizeit). Die vom Obergericht geschilderten Veränderungen im Leben des Kindes bestreitet der Beschwerdeführer nicht. Daher läuft der Vorwurf, unter dem Verhältnismässigkeitsgrundsatz hätte genügt, die Beschwerdegegnerin wenn nötig mittels Strafdrohung zur Einhaltung der Besuchsrechtsregelung 2016/2017 anzuhalten, ins Leere, und ist nicht einzusehen, inwiefern die Abweisung des Antrags auf Weiterführung der Besuchsrechtsregelung 2016/2017 bundesrechtswidrig sein könnte. Auch eine Verletzung von Art. 449b Abs. 2 ZGB bzw. des rechtlichen Gehörs ist nicht ersichtlich.</w:t>
      </w:r>
    </w:p>
    <w:p>
      <w:r>
        <w:rPr>
          <w:b/>
        </w:rPr>
        <w:t>E. 3</w:t>
      </w:r>
    </w:p>
    <w:p>
      <w:r>
        <w:t>Mit Blick auf die von der KESB getroffene Besuchsrechtsregelung beanstandet der Beschwerdeführer einzig, zufolge der offenen Formulierungen sei die streitgegenständliche Regelung interpretationsbedürftig und erfordere weitere Absprachen zwischen den Eltern, was keinen Beitrag zur Konfliktlösung leiste und weder den Ablauf des persönlichen Verkehrs noch den Informationsaustausch sicherstelle. Mit diesen Einwendungen vermag der Beschwerdeführer keine Bundesrechtswidrigkeit darzutun. Er übergeht vollständig, dass das Obergericht die von der KESB angeordnete Besuchsrechtsbeistandschaft bestätigt hat, nachdem der Beschwerdeführer weder gegen die Beistandsperson als solche noch gegen ihren Auftrag, der auch Vermittlung in der Kommunikation und Information der Eltern umfasst, Einwendungen vorgetragen hatte. Vor Bundesgericht begründet der Beschwerdeführer im Übrigen nicht, weshalb die Anordnung der Besuchsrechtsbeistandschaft aufgehoben werden sollte und erhebt keine Einwendungen gegen die Beistandsperson oder deren Auftrag.</w:t>
      </w:r>
    </w:p>
    <w:p>
      <w:r>
        <w:rPr>
          <w:b/>
        </w:rPr>
        <w:t>E. 4</w:t>
      </w:r>
    </w:p>
    <w:p>
      <w:r>
        <w:t>Zu seinem Eventualantrag auf Rückweisung der Sache an das Obergericht zu neuem Entscheid führt der Beschwerdeführer lediglich aus, "[w]enn wider Erwarten keine Gutheissung der bisherigen Regelung 2016/ 2017 mit Strafandrohung bei Widerhandlung erfolgt, so ist die Sache an die Vorinstanz zurückzuweisen, da weder die Vorinstanz, noch die KESB ihren Untersuchungspflichten nachgekommen sind, den relevanten Sachverhalt nicht ausreichend abgeklärt haben und erhebliche Sachverhalts-Widersprüche bestehen, auf deren Basis der streitgegenständliche Entscheid getroffen wurde." Diese allgemein gehaltenen Ausführungen erfüllen die an die Begründung einer Beschwerde an das Bundesgericht gestellten Anforderungen nicht. Sie sind entsprechend nicht geeignet, die Sachverhaltsbasis des angefochtenen Entscheids oder die Rechtsanwendung durch das Obergericht infrage zu stellen. Auch in diesem Punkt erweist sich die Beschwerde als unbegründet, soweit überhaupt darauf eingetreten werden kann.</w:t>
      </w:r>
    </w:p>
    <w:p>
      <w:r>
        <w:rPr>
          <w:b/>
        </w:rPr>
        <w:t>E. 5</w:t>
      </w:r>
    </w:p>
    <w:p>
      <w:r>
        <w:t>Der Beschwerdeführer beanstandet die vorinstanzliche Kostenregelung. Er begründet seinen Standpunkt indes ausschliesslich mit der - hiervor verworfenen - Rechtsfehlerhaftigkeit der kantonalen Entscheide. Darauf ist nicht weiter einzugehen.</w:t>
      </w:r>
    </w:p>
    <w:p>
      <w:r>
        <w:rPr>
          <w:b/>
        </w:rPr>
        <w:t>E. 6</w:t>
      </w:r>
    </w:p>
    <w:p>
      <w:r>
        <w:t>Damit ist die Beschwerde abzuweisen, soweit darauf eingetreten werden kann. Der Beschwerdeführer unterliegt und wird kostenpflichtig ( Art. 66 Abs. 1 BGG ). Eine Parteientschädigung ist dagegen nicht geschuldet,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