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763/2012 vom 18. März 2013</w:t>
      </w:r>
    </w:p>
    <w:p>
      <w:r>
        <w:t>Bundesgericht, 2013-03-18, FR</w:t>
      </w:r>
    </w:p>
    <w:p>
      <w:r>
        <w:rPr>
          <w:b/>
        </w:rPr>
        <w:t xml:space="preserve">Quelle: </w:t>
      </w:r>
      <w:r>
        <w:t>https://mcp.opencaselaw.ch/entscheid/bger_5A_763_2012</w:t>
      </w:r>
    </w:p>
    <w:p>
      <w:r>
        <w:t>FR: TF 5A 763/2012 du 18 mars 2013</w:t>
      </w:r>
    </w:p>
    <w:p>
      <w:r>
        <w:t>IT: TF 5A 763/2012 del 18 marzo 2013</w:t>
      </w:r>
    </w:p>
    <w:p>
      <w:pPr>
        <w:pStyle w:val="Heading2"/>
      </w:pPr>
      <w:r>
        <w:t>Regeste</w:t>
      </w:r>
    </w:p>
    <w:p>
      <w:r>
        <w:t>Mesures de sûreté successorales | Droit des successions</w:t>
      </w:r>
    </w:p>
    <w:p>
      <w:pPr>
        <w:pStyle w:val="Heading2"/>
      </w:pPr>
      <w:r>
        <w:t>Erwägungen</w:t>
      </w:r>
    </w:p>
    <w:p>
      <w:r>
        <w:rPr>
          <w:b/>
        </w:rPr>
        <w:t>E. 1.1</w:t>
      </w:r>
    </w:p>
    <w:p>
      <w:r>
        <w:t>Le recours a été déposé en temps utile ( art. 100 al. 1 LTF ) et dans la forme prévue par la loi ( art. 42 LTF ), contre une décision rendue en matière successorale ( art. 72 al. 1 LTF ) et par les recourantes qui ont succombé devant l'autorité cantonale de dernière instance (art. 75 al. 1 et 76 al. 1 LTF); il est ainsi recevable au regard de ces dispositions.</w:t>
      </w:r>
    </w:p>
    <w:p>
      <w:r>
        <w:rPr>
          <w:b/>
        </w:rPr>
        <w:t>E. 1.2</w:t>
      </w:r>
    </w:p>
    <w:p>
      <w:r>
        <w:t>Portant sur des mesures de sûreté des art. 551 ss CC , qui relèvent de la juridiction gracieuse (arrêts 5A_434/2012 du 18 décembre 2012 consid. 1.2; 5A_892/2011 du 21 juin 2012 consid. 1; STEINAUER, Le droit des successions, 2006, n. 859), la cause est néanmoins de nature pécuniaire, dès lors que, comme c'est la règle en matière successorale (arrêt 5A_395/2010 du 22 octobre 2010 consid. 1.2.2), la requête des recourantes vise un but économique (arrêt 4A_584/2008 du 13 mars 2009 consid. 1.1 non publié aux ATF 135 III 304 ; ATF 118 II 528 consid. 2c; arrêt 5A_594/2009 du 20 avril 2010 consid. 1.1), à savoir assurer la transmission d'actifs à hauteur de plus d'un million de dollars; la valeur litigieuse est donc atteinte (art. 51 al. 2 et 74 al. 1 let. b LTF).</w:t>
      </w:r>
    </w:p>
    <w:p>
      <w:r>
        <w:rPr>
          <w:b/>
        </w:rPr>
        <w:t>E. 1.3</w:t>
      </w:r>
    </w:p>
    <w:p>
      <w:r>
        <w:t>Les mesures de sûreté au sens des art. 551 ss CC visent uniquement à assurer la conservation, la gestion et la dévolution des biens de la succession, mais ne produisent aucun effet matériel (arrêt 5A_686/2011 du 28 novembre 2011 consid. 2; STEINAUER, op. cit., n. 862); l'arrêt attaqué constitue ainsi une décision de mesures provisionnelles au sens de l' art. 98 LTF (arrêt 5A_892/2011 du 21 juin 2012 consid. 2.1).</w:t>
      </w:r>
    </w:p>
    <w:p>
      <w:r>
        <w:rPr>
          <w:b/>
        </w:rPr>
        <w:t>E. 2</w:t>
      </w:r>
    </w:p>
    <w:p>
      <w:r>
        <w:t>En raison de la nationalité étrangère du défunt, le litige revêt un caractère international. Le Tribunal fédéral doit donc examiner la question du droit applicable ( ATF 136 III 142 consid. 3.2; 135 III 562 consid. 3.2; 131 III 153 consid. 3). Pour ce faire, il faut se référer au droit international privé du for et qualifier le rapport juridique selon la lex fori ( ATF 136 III 142 consid. 3.2; 135 III 562 consid. 3.2), à savoir, en l'espèce, la loi fédérale du 18 décembre 1987 sur le droit international privé (LDIP, RS 291). Selon l' art. 92 al. 2 LDIP , les mesures conservatoires prononcées par les autorités suisses, compétentes en raison du dernier domicile du défunt en Suisse (art. 86 al 1 LDIP), sont régies par le droit suisse nonobstant la professio juris en faveur du droit anglais contenue dans le testament du 7 avril 1997 ( art. 90 al. 2 LDIP ).</w:t>
      </w:r>
    </w:p>
    <w:p>
      <w:r>
        <w:rPr>
          <w:b/>
        </w:rPr>
        <w:t>E. 3</w:t>
      </w:r>
    </w:p>
    <w:p>
      <w:r>
        <w:t>En substance, la cour cantonale a considéré que la mesure sollicitée n'était prévue ni par le droit fédéral ni par le droit cantonal au titre de mesure de sûreté ( art. 551 al. 2 CC ) et qu'une saisie conservatoire d'avoirs en mains de tiers ne pouvait être ordonnée que par le juge civil saisi d'une action en pétition d'hérédité ( art. 598 al. 2 CC ).</w:t>
      </w:r>
    </w:p>
    <w:p>
      <w:r>
        <w:rPr>
          <w:b/>
        </w:rPr>
        <w:t>E. 4.1</w:t>
      </w:r>
    </w:p>
    <w:p>
      <w:r>
        <w:t>Saisi d'un recours en matière civile au sens de l' art. 98 LTF ou d'un recours constitutionnel subsidiaire, le Tribunal fédéral dispose d'un pouvoir d'examen limité, seule la violation des droits constitutionnels pouvant être invoquée; il ne peut procéder à une substitution de motifs que pour autant que la nouvelle motivation, conforme à la Constitution, n'ait pas expressément été réfutée par l'autorité cantonale (arrêt 5A_591/2011 du 7 décembre 2011 consid. 3.1; ATF 128 III 4 consid. 4c/aa).</w:t>
      </w:r>
    </w:p>
    <w:p>
      <w:r>
        <w:rPr>
          <w:b/>
        </w:rPr>
        <w:t>E. 4.2</w:t>
      </w:r>
    </w:p>
    <w:p>
      <w:r>
        <w:t>Le Tribunal fédéral ne sanctionne la violation de droits constitutionnels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références citées).</w:t>
      </w:r>
    </w:p>
    <w:p>
      <w:r>
        <w:rPr>
          <w:b/>
        </w:rPr>
        <w:t>E. 5</w:t>
      </w:r>
    </w:p>
    <w:p>
      <w:r>
        <w:t>Invoquant la violation de leur droit d'être entendu en tant que des faits allégués et prouvés n'auraient pas été pris en compte ainsi que l'application arbitraire des art. 551 ss CC , les recourantes se prévalent de l'inefficacité, constatée dans le cadre de la procédure qui les a opposées à C.________, de la structure de trust et de sociétés offshores mise en place par le de cujus pour requérir que la prise de mesures tendant à assurer que les avoirs de cette structure soient transmis à la succession. Elles font en outre valoir que lesdits avoirs sont en danger de disparition et que, comme l'apposition de scellés n'est pas possible, il peut être ordonné leur versement en mains de justice comme mesure de substitution.</w:t>
      </w:r>
    </w:p>
    <w:p>
      <w:r>
        <w:rPr>
          <w:b/>
        </w:rPr>
        <w:t>E. 5.1.1</w:t>
      </w:r>
    </w:p>
    <w:p>
      <w:r>
        <w:t>Selon l' art. 551 CC ,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 à trancher les litiges entre ayants droit (PIOTET, Droit successoral, Traité de droit privé suisse, 1975, p. 623). Les scellés sont apposés dans les cas prévus par la législation cantonale ( art. 552 CC ). L'apposition de scellés ou une éventuelle mesure de substitution n'est possible que sur des biens en possession du de cujus, et non sur ceux en possession de tiers (EMMEL, Paxis Kommentar, Erbrecht, Abt/Weibel [éd.], 2ème éd., 2011, n° 4 ad art. 553 CC ; KARRER/VOGT/LEU, Zivilgesetzbuch II, Balser Kommentar, 4ème éd., 2011, n° 5 ad art. 552 CC ).</w:t>
      </w:r>
    </w:p>
    <w:p>
      <w:r>
        <w:rPr>
          <w:b/>
        </w:rPr>
        <w:t>E. 5.1.2</w:t>
      </w:r>
    </w:p>
    <w:p>
      <w:r>
        <w:t>L'autorité de la chose jugée ne produit d'effets qu'entre les parties au procès, y compris leurs successeurs à titre universel ( ATF 125 III 8 consid. 3a; 93 II 329 consid. 3). En d'autres termes, le jugement ne vaut qu'inter partes, selon l'adage «res judicata jus facit nisi inter partes» (HOHL, Procédure civile, Tome I, 2001, n. 1315; GULDENER, Schweizerisches Zivilprozessrecht, 3e éd. 1979, p. 371 ss).</w:t>
      </w:r>
    </w:p>
    <w:p>
      <w:r>
        <w:rPr>
          <w:b/>
        </w:rPr>
        <w:t>E. 5.2</w:t>
      </w:r>
    </w:p>
    <w:p>
      <w:r>
        <w:t>En l'espèce, les recourantes se prévalent de ce que le trust a été qualifié de «sham» et de ce que le principe de la transparence a été appliqué aux sociétés offshores dans la procédure les ayant opposées à C.________ pour démontrer que les avoirs de la structure Y.________ sont des biens de la succession et pour justifier leur remise en mains de justice. Elles invoquent ainsi des constatations de fait et des conclusions juridiques intervenues dans une contestation à laquelle ni les entités de la structure en cause ni leur intermédiaire en Suisse, G.________, n'étaient parties. Or, en vertu de l'effet inter partes du jugement, l'issue de cette procédure n'est pas opposable à ces derniers. Il suit de là que, à ce stade, les avoirs de ladite structure ne constituent pas des biens de la succession dont il y a lieu d'assurer la dévolution par des mesures de sûreté au sens des art. 551 ss CC . Aussi, une mesure de substitution aux scellés ne saurait en aucun cas être ordonnée sur ces biens dont le défunt n'avait au demeurant pas la possession. En conséquence, c'est sans arbitraire que, dans son résultat, la décision entreprise a rejeté la requête des recourantes tendant au versement immédiat en mains de justice de tous les avoirs dissimulés dans la structure Y.________.</w:t>
      </w:r>
    </w:p>
    <w:p>
      <w:r>
        <w:rPr>
          <w:b/>
        </w:rPr>
        <w:t>E. 6</w:t>
      </w:r>
    </w:p>
    <w:p>
      <w:r>
        <w:t>En définitive, le recours doit être rejeté. Les frais judiciaires, arrêtés à 5'000 fr., sont mis à la charge des recourantes qui succombent ( art. 66 al. 1 LTF ). Il n'y a pas lieu d'allouer de dépens, des réponses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