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760/2019 vom 27. September 2019</w:t>
      </w:r>
    </w:p>
    <w:p>
      <w:r>
        <w:t>Bundesgericht, 2019-09-27, DE</w:t>
      </w:r>
    </w:p>
    <w:p>
      <w:r>
        <w:rPr>
          <w:b/>
        </w:rPr>
        <w:t xml:space="preserve">Quelle: </w:t>
      </w:r>
      <w:r>
        <w:t>https://mcp.opencaselaw.ch/entscheid/bger_5A_760_2019</w:t>
      </w:r>
    </w:p>
    <w:p>
      <w:r>
        <w:t>FR: TF 5A 760/2019 du 27 septembre 2019</w:t>
      </w:r>
    </w:p>
    <w:p>
      <w:r>
        <w:t>IT: TF 5A 760/2019 del 27 settembre 2019</w:t>
      </w:r>
    </w:p>
    <w:p>
      <w:pPr>
        <w:pStyle w:val="Heading2"/>
      </w:pPr>
      <w:r>
        <w:t>Regeste</w:t>
      </w:r>
    </w:p>
    <w:p>
      <w:r>
        <w:t>Zwangsmedikation | Familienrecht</w:t>
      </w:r>
    </w:p>
    <w:p>
      <w:pPr>
        <w:pStyle w:val="Heading2"/>
      </w:pPr>
      <w:r>
        <w:t>Erwägungen</w:t>
      </w:r>
    </w:p>
    <w:p>
      <w:r>
        <w:rPr>
          <w:b/>
        </w:rPr>
        <w:t>E. 1</w:t>
      </w:r>
    </w:p>
    <w:p>
      <w:r>
        <w:t>Angefochten ist die Vorladungsverfügung zur erstinstanzlichen Verhandlung in einem Verfahren betreffend Zwangsmedikation. Diese ist vor Bundesgericht ebenso wenig anfechtbar wie es der zwischenzeitlich ergangene erstinstanzliche Entscheid in der Sache wäre, denn Anfechtungsobjekt im bundesgerichtlichen Verfahren kann erst der kantonal letztinstanzliche Entscheid bilden ( Art. 75 Abs. 1 BGG ). Auf die Beschwerde kann deshalb mangels Ausschöpfung des Instanzenzuges nicht eingetreten werden.</w:t>
      </w:r>
    </w:p>
    <w:p>
      <w:r>
        <w:rPr>
          <w:b/>
        </w:rPr>
        <w:t>E. 2</w:t>
      </w:r>
    </w:p>
    <w:p>
      <w:r>
        <w:t>Nach dem Gesagten erweist sich die Beschwerde als offensichtlich unzulässig, weshalb auf sie nicht eingetreten werden kann und der Präsident im vereinfachten Verfahren entscheidet ( Art. 108 Abs. 1 lit. a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