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5A_758/2017 vom 28. September 2017</w:t>
      </w:r>
    </w:p>
    <w:p>
      <w:r>
        <w:t>Bundesgericht, 2017-09-28, DE</w:t>
      </w:r>
    </w:p>
    <w:p>
      <w:r>
        <w:rPr>
          <w:b/>
        </w:rPr>
        <w:t xml:space="preserve">Quelle: </w:t>
      </w:r>
      <w:r>
        <w:t>https://mcp.opencaselaw.ch/entscheid/bger_5A_758_2017</w:t>
      </w:r>
    </w:p>
    <w:p>
      <w:r>
        <w:t>FR: TF 5A_758/2017 du 28 septembre 2017</w:t>
      </w:r>
    </w:p>
    <w:p>
      <w:r>
        <w:t>IT: TF 5A_758/2017 del 28 settembre 2017</w:t>
      </w:r>
    </w:p>
    <w:p>
      <w:pPr>
        <w:pStyle w:val="Heading2"/>
      </w:pPr>
      <w:r>
        <w:t>Erwägungen</w:t>
      </w:r>
    </w:p>
    <w:p>
      <w:r>
        <w:rPr>
          <w:b/>
        </w:rPr>
        <w:t>E. 1</w:t>
      </w:r>
    </w:p>
    <w:p>
      <w:r>
        <w:t>Das Bezirksgericht Winterthur eröffnete mit Urteil vom 7. August 2017 für eine Forderung der Beschwerdegegnerin von Fr. 2'082.20 einschliesslich Zinsen und bisherige Betreibungskosten den Konkurs über den Beschwerdeführer.</w:t>
      </w:r>
    </w:p>
    <w:p>
      <w:r>
        <w:t>Dagegen erhob der Beschwerdeführer am 16. August 2017 Beschwerde. Mit Verfügung vom 18. August 2017 erkannte das Obergericht des Kantons Zürich der Beschwerde einstweilen die aufschiebende Wirkung nicht zu. Mit Urteil vom 28. August 2017 wies das Obergericht die Beschwerde ab und bestätigte das Urteil des Bezirksgerichts vom 7. August 2017.</w:t>
      </w:r>
    </w:p>
    <w:p>
      <w:r>
        <w:t>Am 27. September 2017 hat der Beschwerdeführer Beschwerde an das Bundesgericht erhoben.</w:t>
      </w:r>
    </w:p>
    <w:p>
      <w:r>
        <w:rPr>
          <w:b/>
        </w:rPr>
        <w:t>E. 2</w:t>
      </w:r>
    </w:p>
    <w:p>
      <w:r>
        <w:t>Angefochten ist ein kantonal letztinstanzlicher Konkursentscheid, womit die Beschwerde in Zivilsachen grundsätzlich gegeben ist ( Art. 72 Abs. 2 lit. a, Art. 74 Abs. 2 lit. d,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Unter Hinweis auf Art. 174 Abs. 2 SchKG hat das Obergericht erwogen, es genüge nicht, wenn der Beschwerdeführer in Aussicht stelle, er werde die Konkursforderung bezahlen. Er hätte dem Gericht vielmehr innert der Rechtsmittelfrist nachweisen müssen, dass er die Konkursforderung getilgt habe. Der Beschwerdeführer habe keinen Konkurshinderungsgrund nachweisen können. Zu seiner Zahlungsfähigkeit habe er sich nicht geäussert, womit er auch diese nicht hinreichend glaubhaft gemacht habe. Für das vorliegende Verfahren seien seine Ausführungen zu seinen psychischen Problemen und zum Klinikaufenthalt nicht von Bedeutung. Der Beschwerdeführer habe kein Gesuch um Rechtsstillstand gemäss Art. 61 SchKG gestellt.</w:t>
      </w:r>
    </w:p>
    <w:p>
      <w:r>
        <w:t>Vor Bundesgericht schildert der Beschwerdeführer sein Krankheitsbild und wünscht die Berücksichtigung seiner Krankheit im Vorfeld des Konkurses bzw. im Konkursverfahren. Wie das Obergericht jedoch bereits ausgeführt hat, kann dies im Konkursverfahren nicht berücksichtigt werden. Entsprechende gesetzliche Grundlagen fehlen. Der Beschwerdeführer bestreitet sodann nicht, dass er kein Gesuch um Rechtsstillstand gemäss Art. 61 SchKG (Rechtsstillstand wegen schwerer Erkrankung) gestellt hat. Ausserdem wünscht der Beschwerdeführer, dass die Krankenkassen menschlicher handeln und auf Härtefälle Rücksicht nehmen. Es dürfe nicht sein, dass Krankenkassen, bei denen man sich gegen lebensbedrohliche Krankheiten versichere, ihrerseits den Versicherten mit Entzug des Lebensnotwendigen bedrohten. Bei psychischen Erkrankungen könne das Vorgehen der Krankenkassen negative Rückwirkungen haben. Die Beschwerdegegnerin habe ihre Sorgfaltspflicht missachtet, indem sie seine psychische Erkrankung nicht berücksichtigt habe. Die Vorschläge des Beschwerdeführers zielen auf eine Änderung der Geschäftspolitik der Krankenkassen und eine Anpassung der gesetzlichen Grundlagen. Dafür ist das Bundesgericht nicht zuständig. Im Übrigen bestreitet der Beschwerdeführer die Erwägungen des Obergerichts zum mangelnden Nachweis eines Konkurshinderungsgrundes nicht. Zur Zahlungsfähigkeit äussert er sich zwar, doch hätte er sich dazu vor Obergericht äussern müssen. Seine Ausführungen vor Bundesgericht sind verspätet ( Art. 99 Abs. 1 BGG ).</w:t>
      </w:r>
    </w:p>
    <w:p>
      <w:r>
        <w:t>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Angesichts der Umstände ist auf die Erhebung von Gerichtskosten zu verzichten ( Art. 66 Abs. 1 BGG ). Das Gesuch des Beschwerdeführers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