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758/2011 vom 17. April 2012</w:t>
      </w:r>
    </w:p>
    <w:p>
      <w:r>
        <w:t>Bundesgericht, 2012-04-17, FR</w:t>
      </w:r>
    </w:p>
    <w:p>
      <w:r>
        <w:rPr>
          <w:b/>
        </w:rPr>
        <w:t xml:space="preserve">Quelle: </w:t>
      </w:r>
      <w:r>
        <w:t>https://mcp.opencaselaw.ch/entscheid/bger_5A_758_2011</w:t>
      </w:r>
    </w:p>
    <w:p>
      <w:r>
        <w:t>FR: TF 5A 758/2011 du 17 avril 2012</w:t>
      </w:r>
    </w:p>
    <w:p>
      <w:r>
        <w:t>IT: TF 5A 758/2011 del 17 aprile 2012</w:t>
      </w:r>
    </w:p>
    <w:p>
      <w:pPr>
        <w:pStyle w:val="Heading2"/>
      </w:pPr>
      <w:r>
        <w:t>Regeste</w:t>
      </w:r>
    </w:p>
    <w:p>
      <w:r>
        <w:t>mesures provisionnelles (divorce)h | Droit de la famille</w:t>
      </w:r>
    </w:p>
    <w:p>
      <w:pPr>
        <w:pStyle w:val="Heading2"/>
      </w:pPr>
      <w:r>
        <w:t>Erwägungen</w:t>
      </w:r>
    </w:p>
    <w:p>
      <w:r>
        <w:rPr>
          <w:b/>
        </w:rPr>
        <w:t>E. 1</w:t>
      </w:r>
    </w:p>
    <w:p>
      <w:r>
        <w:t>Le recours est dirigé contre une décision finale ( art. 90 LTF ; ATF 134 III 426 consid. 2.2), rendue en matière civile ( art. 72 al. 1 LTF ), par la Ie Cour d'appel civil du Tribunal cantonal de l'Etat de Fribourg, autorité de dernière instance cantonale statuant sur recours ( art. 75 al. 1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w:t>
      </w:r>
    </w:p>
    <w:p>
      <w:r>
        <w:rPr>
          <w:b/>
        </w:rPr>
        <w:t>E. 2</w:t>
      </w:r>
    </w:p>
    <w:p>
      <w:r>
        <w:t>La décision attaquée porte sur des mesures provisionnelles au sens de l' art. 98 LTF ( ATF 133 III 393 consid. 5.1, 585 consid. 3.3), de sorte que seule peut être dénoncée la violation de droits constitutionnels.</w:t>
      </w:r>
    </w:p>
    <w:p>
      <w:r>
        <w:rPr>
          <w:b/>
        </w:rPr>
        <w:t>E. 3</w:t>
      </w:r>
    </w:p>
    <w:p>
      <w:r>
        <w:t>Le Tribunal cantonal a examiné tant l'appel que l'action en constatation de nullité déposés par le recourant, les déclarant tous deux irrecevables. Motivant l'irrecevabilité de l'appel, la cour cantonale a avant tout considéré que ce dernier était tardif en tant qu'il avait été déposé au-delà du délai d'appel de 10 jours prévu en procédure sommaire ( art. 314 al. 1 CPC ), procédure régissant notamment les mesures provisionnelles durant une procédure de divorce ( art. 271 CPC par renvoi de l' art. 276 al. 1 CPC ). Que le jugement du Tribunal civil indiquât que la voie de droit ouverte était le recours en matière civile auprès du Tribunal fédéral, à introduire dans un délai de 30 jours, n'y changeait rien dès lors que le recourant ne s'était précisément pas fié à cette indication de voie de droit. La juridiction cantonale a ensuite retenu que, dans son appel, le recourant se prévalait d'une incertitude quant aux voies de recours au moment où le jugement du Tribunal civil lui avait été notifié, à savoir un recours en matière civile au Tribunal fédéral dans les 30 jours, comme mentionné dans le jugement, ou un appel au niveau cantonal, dans les 10 jours, pour assurer l'obtention d'une décision de dernière instance cantonale au sens de la jurisprudence du Tribunal fédéral. Les juges cantonaux ont néanmoins conclu qu'il n'y avait pas lieu de se demander si une telle situation pouvait entraîner une restitution du délai pour l'appel dans la mesure où une telle restitution n'avait pas été requise, même informellement, dans le mémoire d'appel, et qu'une requête en ce sens était pourtant nécessaire.</w:t>
      </w:r>
    </w:p>
    <w:p>
      <w:r>
        <w:rPr>
          <w:b/>
        </w:rPr>
        <w:t>E. 4</w:t>
      </w:r>
    </w:p>
    <w:p>
      <w:r>
        <w:t>Le recourant observe qu'il pouvait légitimement se fier à la voie de droit et au délai de recours indiqués dans le jugement du Tribunal civil reçu le 18 mai 2011 en tant que la jurisprudence déclarant irrecevables les recours déposés au Tribunal fédéral contre les jugements rendus sur recours par les Tribunaux d'arrondissement, faute pour ceux-ci de statuer en qualité d'autorité cantonale supérieure, n'avait été accessible que le 27 mai 2011 (jurisprudence publiée aux ATF 137 III 238 ). Il remarque en outre que l'arrêt du Tribunal cantonal serait arbitraire et ferait fi de la protection de sa bonne foi ( art. 9 Cst. ) dès lors qu'il serait en totale contradiction avec sa pratique constante depuis le 1er janvier 2011, consistant à déclarer irrecevables les recours interjetés devant lui contre les décisions sur mesures provisionnelles rendues ensuite d'un recours auprès du Tribunal d'arrondissement.</w:t>
      </w:r>
    </w:p>
    <w:p>
      <w:r>
        <w:rPr>
          <w:b/>
        </w:rPr>
        <w:t>E. 5.1.1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136 I 254 consid. 5.2; 135 IV 212 consid. 2.6; arrêt 5A_704/2011 du 23 février 2011 consid. 8.3.1 destiné à la publication; BÉATRICE WEBER-DÜRLER, Neuere Entwicklungen des Vertrauenschutzes, in ZBl 6/2002 281 ss [292 s.]).</w:t>
      </w:r>
    </w:p>
    <w:p>
      <w:r>
        <w:rPr>
          <w:b/>
        </w:rPr>
        <w:t>E. 5.1.2</w:t>
      </w:r>
    </w:p>
    <w:p>
      <w:r>
        <w:t>On déduit du principe de la bonne foi précité que les parties ne doivent subir aucun préjudice en raison d'une indication inexacte des voies de droit ( ATF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135 III 374 consid. 1.2.2.2; 134 I 199 consid. 1.3.1; 129 II 125 consid. 3.3; 124 I 255 consid. 1a/aa; 117 Ia 421 consid. 2a; arrêt 5A_704/2011 précité consid. 8.3.2 destiné à la publication).</w:t>
      </w:r>
    </w:p>
    <w:p>
      <w:r>
        <w:rPr>
          <w:b/>
        </w:rPr>
        <w:t>E. 5.2</w:t>
      </w:r>
    </w:p>
    <w:p>
      <w:r>
        <w:t>En l'espèce, le Tribunal cantonal n'a pas examiné la protection de la bonne foi, alors qu'il retient pourtant l'incertitude dont se prévalait le recourant, mais détourne la question en reprochant à ce dernier de ne pas avoir demandé une restitution du délai. Or, le recourant a lui-même corrigé la voie de droit indiquée dans le jugement du Tribunal civil suite à la mise en ligne de l'arrêt 137 III 238, jurisprudence concluant à l'irrecevabilité d'un éventuel recours au Tribunal fédéral. Cette correction a certes été effectuée dans le délai erroné de 30 jours indiqué par le jugement du Tribunal civil, mais on ne saurait, sans violer le principe de la bonne foi, exiger du recourant qu'il ait pris connaissance de la jurisprudence précitée le jour même de sa diffusion publique - le 27 mai 2011 -, pour ensuite déposer appel au Tribunal cantonal le 28 mai 2011 (échéance du délai d'appel de 10 jours), voire immédiatement solliciter une restitution de délai. Le grief doit par conséquent être admis.</w:t>
      </w:r>
    </w:p>
    <w:p>
      <w:r>
        <w:rPr>
          <w:b/>
        </w:rPr>
        <w:t>E. 6</w:t>
      </w:r>
    </w:p>
    <w:p>
      <w:r>
        <w:t>Vu ce qui précède, les autres griefs du recourant sont sans objet, notamment ceux relatifs à la prétendue nullité du jugement rendu par le Tribunal civil.</w:t>
      </w:r>
    </w:p>
    <w:p>
      <w:r>
        <w:rPr>
          <w:b/>
        </w:rPr>
        <w:t>E. 7</w:t>
      </w:r>
    </w:p>
    <w:p>
      <w:r>
        <w:t>Le recours est admis, l'arrêt attaqué annulé et la cause retournée au Tribunal cantonal pour qu'il statue sur le fond du litige. En tant que l'intimée s'en est remise à justice et que des frais ne peuvent être imposés aux cantons, le présent arrêt sera rendu sans frais ( art. 66 al. 1 et 4 LTF ). L'État de Fribourg doit en revanche verser des dépens au recourant qui obtient gain de cause (arrêts 5A_407/2011 du 5 août 2011 consid. 3; 5A_183/2009 du 18 mai 2009 consid. 3; ATF 129 V 335 consid. 4 p.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