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5A_757/2024 vom 20. Dezember 2024</w:t>
      </w:r>
    </w:p>
    <w:p>
      <w:r>
        <w:t>Bundesgericht, 2024-12-20, FR</w:t>
      </w:r>
    </w:p>
    <w:p>
      <w:r>
        <w:rPr>
          <w:b/>
        </w:rPr>
        <w:t xml:space="preserve">Quelle: </w:t>
      </w:r>
      <w:r>
        <w:t>https://mcp.opencaselaw.ch/entscheid/bger_5A_757_2024</w:t>
      </w:r>
    </w:p>
    <w:p>
      <w:r>
        <w:t>FR: TF 5A_757/2024 du 20 décembre 2024</w:t>
      </w:r>
    </w:p>
    <w:p>
      <w:r>
        <w:t>IT: TF 5A_757/2024 del 20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5A_757/2024</w:t>
      </w:r>
    </w:p>
    <w:p>
      <w:r>
        <w:t>Arrêt du 20 décembre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for de la poursuite, plainte sans objet,</w:t>
      </w:r>
    </w:p>
    <w:p>
      <w:r>
        <w:t>recours contre la décision de la Chambre de surveillance des Offices des poursuites et faillites de la Cour de justice du canton de Genève du 17 octobre 2024 (A/2515/2024-CS, DCSO/494/24).</w:t>
      </w:r>
    </w:p>
    <w:p>
      <w:r>
        <w:t>Vu :</w:t>
      </w:r>
    </w:p>
    <w:p>
      <w:r>
        <w:t>le recours (traité comme recours en matière civile) interjeté par A.________, représentée par son mari C.________, contre la décision du 17 octobre 2024 de la Chambre de surveillance des Offices des poursuites et faillites de la Cour de justice du canton de Genève;</w:t>
      </w:r>
    </w:p>
    <w:p>
      <w:r>
        <w:t>l'ordonnance du 5 novembre 2024 invitant la recourante, en application de l' art. 42 al. 5 LTF , à signer elle-même le mémoire ou à le faire signer par un avocat autorisé jusqu'au 15 novembre 2024;</w:t>
      </w:r>
    </w:p>
    <w:p>
      <w:r>
        <w:t>l'ordonnance du même jour invitant l'intéressée à effectuer une avance de frais de 500 fr. jusqu'au 20 novembre 2024;</w:t>
      </w:r>
    </w:p>
    <w:p>
      <w:r>
        <w:t>l'ordonnance du 28 novembre 2024 lui fixant un délai supplémentaire au 9 décembre 2024 pour s'exécuter;</w:t>
      </w:r>
    </w:p>
    <w:p>
      <w:r>
        <w:t>l'attestation de la Caisse du Tribunal fédéral du 17 décembre 2024;</w:t>
      </w:r>
    </w:p>
    <w:p>
      <w:r>
        <w:t>Considérant :</w:t>
      </w:r>
    </w:p>
    <w:p>
      <w:r>
        <w:t>que le mémoire n'a pas été régularisé en temps utile, de sorte qu'il ne sera pas pris en considération ( art. 42 al. 5 LTF );</w:t>
      </w:r>
    </w:p>
    <w:p>
      <w:r>
        <w:t>que, de surcroît, l'avance de frais n'a pas non plus été versée dans le délai supplémentaire imparti à cet effet ( art. 62 al. 3 LTF );</w:t>
      </w:r>
    </w:p>
    <w:p>
      <w:r>
        <w:t>que, partant, le présent recours doit être déclaré irrecevable par voie de procédure simplifiée ( art. 108 al. 1 let. a LTF );</w:t>
      </w:r>
    </w:p>
    <w:p>
      <w:r>
        <w:t>que, en dérogation au principe général ( art. 66 al. 1 LTF ), il se justifie de mettre les frais judiciaires à la charge de C.________, lequel a indûment procédé au nom de son épouse ( art. 66 al. 3 LTF ;</w:t>
      </w:r>
    </w:p>
    <w:p>
      <w:r>
        <w:t>cf . BOVEY,</w:t>
      </w:r>
    </w:p>
    <w:p>
      <w:r>
        <w:t>in : Commentaire de la LTF, 3e éd., 2022, n° 18 ad art. 66 LTF , avec la jurisprudence citée);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C.________.</w:t>
      </w:r>
    </w:p>
    <w:p>
      <w:r>
        <w:t>3.</w:t>
      </w:r>
    </w:p>
    <w:p>
      <w:r>
        <w:t>Le présent arrêt est communiqué aux parties, à C.________ et à la Chambre de surveillance des Offices des poursuites et faillites de la Cour de justice du canton de Genève.</w:t>
      </w:r>
    </w:p>
    <w:p>
      <w:r>
        <w:t>Lausanne, le 20 décembre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