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5A_757/2017 vom 28. September 2017</w:t>
      </w:r>
    </w:p>
    <w:p>
      <w:r>
        <w:t>Bundesgericht, 2017-09-28, FR</w:t>
      </w:r>
    </w:p>
    <w:p>
      <w:r>
        <w:rPr>
          <w:b/>
        </w:rPr>
        <w:t xml:space="preserve">Quelle: </w:t>
      </w:r>
      <w:r>
        <w:t>https://mcp.opencaselaw.ch/entscheid/bger_5A_757_2017</w:t>
      </w:r>
    </w:p>
    <w:p>
      <w:r>
        <w:t>FR: TF 5A_757/2017 du 28 septembre 2017</w:t>
      </w:r>
    </w:p>
    <w:p>
      <w:r>
        <w:t>IT: TF 5A_757/2017 del 28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25 août 2017, l'Autorité de recours en matière de poursuite et faillite du Tribunal cantonal du canton du Valais a rejeté, dans la mesure de sa recevabilité, le recours formé le 28 juillet 2017 par A.________ SA contre la décision du 20 juillet 2017 de la Juge suppléante des districts de Martigny et Saint-Maurice refusant la requête de restitution de délai déposée le 19 juillet 2017 par A.________ SA, tendant à ce que le prononcé de sa faillite du 12 juillet 2017 soit annulé et une nouvelle audience de faillite aménagée.</w:t>
      </w:r>
    </w:p>
    <w:p>
      <w:r>
        <w:rPr>
          <w:b/>
        </w:rPr>
        <w:t>E. 2</w:t>
      </w:r>
    </w:p>
    <w:p>
      <w:r>
        <w:t>Par acte du 26 septembre 2017, A.________ SA exerce un recours en matière civile au Tribunal fédéral. La société conclut à l'annulation du jugement attaqué et à l'admission de sa requête de restitution de délai. Au préalable, la recourante sollicite l'octroi de l'effet suspensif à son recours.</w:t>
      </w:r>
    </w:p>
    <w:p>
      <w:r>
        <w:t>Dans son écriture, la société recourante, sous les titres " violation du droit " et " constatation inexacte des faits ", s'efforce de se justifier en ce qui concerne le reproche de ne pas avoir prévenu le Tribunal, par télécopie ou téléphone, de son défaut à l'audience appointée le jour-même, puis de démontrer qu'elle a réagi rapidement après l'audience en restitution du délai. Ce faisant, la recourante ne soulève distinctement aucun grief et ne s'en prend pas à la motivation du jugement entrepris qui examine les conditions de restitution du délai et, s'agissant de l'excuse à l'audience et du délai pour demander la restitution, constate que " ces circonstances ne sont pas réellement déterminantes dans le cadre de l'examen des conditions d'une restitution, puisqu'elles se sont déroulées postérieurement à l'audience de faillite ". En conséquence, le présent recours ne correspond pas aux exigences minimales de motivation des art. 42 al. 2 et 106 al. 2 LTF et doit être déclaré irrecevable.</w:t>
      </w:r>
    </w:p>
    <w:p>
      <w:r>
        <w:t>Le recours, manifestement irrecevable, doit être traité selon la procédure simplifiée prévue à l' art. 108 al. 1 let. a LTF , ce qui rend sans objet la requête d'effet suspensif.</w:t>
      </w:r>
    </w:p>
    <w:p>
      <w:r>
        <w:rPr>
          <w:b/>
        </w:rPr>
        <w:t>E. 3</w:t>
      </w:r>
    </w:p>
    <w:p>
      <w:r>
        <w:t>Les frais judiciaires, arrêtés à 700 fr., sont mis à la charge de la société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