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757/2009 vom 15. Dezember 2009</w:t>
      </w:r>
    </w:p>
    <w:p>
      <w:r>
        <w:t>Bundesgericht, 2009-12-15, DE</w:t>
      </w:r>
    </w:p>
    <w:p>
      <w:r>
        <w:rPr>
          <w:b/>
        </w:rPr>
        <w:t xml:space="preserve">Quelle: </w:t>
      </w:r>
      <w:r>
        <w:t>https://mcp.opencaselaw.ch/entscheid/bger_5A_757_2009</w:t>
      </w:r>
    </w:p>
    <w:p>
      <w:r>
        <w:t>FR: TF 5A 757/2009 du 15 décembre 2009</w:t>
      </w:r>
    </w:p>
    <w:p>
      <w:r>
        <w:t>IT: TF 5A 757/2009 del 15 dicembre 2009</w:t>
      </w:r>
    </w:p>
    <w:p>
      <w:pPr>
        <w:pStyle w:val="Heading2"/>
      </w:pPr>
      <w:r>
        <w:t>Regeste</w:t>
      </w:r>
    </w:p>
    <w:p>
      <w:r>
        <w:t>Pfändung | Schuldbetreibungs- und Konkursrecht</w:t>
      </w:r>
    </w:p>
    <w:p>
      <w:pPr>
        <w:pStyle w:val="Heading2"/>
      </w:pPr>
      <w:r>
        <w:t>Erwägungen</w:t>
      </w:r>
    </w:p>
    <w:p>
      <w:r>
        <w:rPr>
          <w:b/>
        </w:rPr>
        <w:t>E. 1</w:t>
      </w:r>
    </w:p>
    <w:p>
      <w:r>
        <w:t>Entscheide der kantonalen Aufsichtsbehörden in Schuldbetreibungs- und Konkurssachen unterliegen unabhängig von einem allfälligen Streitwert der Beschwerde in Zivilsachen ( Art. 72 Abs. 2 lit. a und Art. 74 Abs. 2 lit. c BGG ). Der angefochtene Entscheid stammt von der letzten kantonalen Instanz ( Art. 75 Abs. 1 BGG ) und befindet über einen Pfändungsvollzug, d.h. eine betreibungsamtliche Verfügung im Sinne von Art. 17 Abs. 1 SchKG , so dass er einen Endentscheid im Sinne von Art. 90 BGG darstellt ( BGE 133 III 350 E. 1.2 S. 351). Aus der Sicht der angeführten Punkte ist auf die Beschwerde nach dem Gesagten ohne weiteres einzutreten.</w:t>
      </w:r>
    </w:p>
    <w:p>
      <w:r>
        <w:rPr>
          <w:b/>
        </w:rPr>
        <w:t>E. 2.1</w:t>
      </w:r>
    </w:p>
    <w:p>
      <w:r>
        <w:t>Nach Art. 42 Abs. 2 BGG ist die Beschwerde zu begründen. Damit wird verlangt, dass der Beschwerdeführer sich mit den Erwägungen der kantonalen Instanz wenigstens kurz auseinandersetzt und darlegt, inwiefern der angefochtene Entscheid gegen Bundesrecht verstossen soll (dazu BGE 134 II 244 E. 2.1 S. 245 f.; BGE 134 V 53 E. 3.3 S. 60). Allgemein gehaltene Einwände, die ohne aufgezeigten oder erkennbaren Zusammenhang mit bestimmten Entscheidungsgründen vorgebracht werden, genügen nicht (vgl. BGE 116 II 745 E. 3 S. 749; Urteil 5A_92/2008 vom 25. Juni 2008, E. 2.3).</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3</w:t>
      </w:r>
    </w:p>
    <w:p>
      <w:r>
        <w:t>Zu den Steuern, die der Beschwerdeführer berücksichtigt haben will, führt die kantonale Aufsichtsbehörde aus, nach den solothurnischen Richtlinien würden bei der Ermittlung des Notbedarfs (nur) die laufenden Steuerbeträge eingesetzt und auch dies bloss dann, wenn diese mit einer gewissen Regelmässigkeit bezahlt worden seien. Somit seien die Steuernachzahlungen für das Jahr 2008 nicht zu berücksichtigen. Die aktuellen Steuervorbezüge beliefen sich gemäss Rechnung vom 21. Juli 2009 (recte: 1. Juli 2009) auf Fr. 2'684.45; damit erscheine der durch das Betreibungsamt eingesetzte Betrag von monatlich Fr. 200.-- zwar als etwas knapp, doch könne eine Anpassung unterbleiben, da der Beschwerdeführer die laufenden Steuern offenbar nicht vollständig und regelmässig zahle und er zudem die Möglichkeit habe, bei Zahlung der aktuellen Steuern gegen Quittung vom Betreibungsamt den Differenzbetrag zurückzuverlangen. Was sodann die vom Beschwerdeführer geltend gemachten Zahlungen von monatlich Fr. 100.-- bzw. Fr. 133.-- an die Versicherung A.________ und das Untersuchungsrichteramt B.________ betreffe, so käme deren Berücksichtigung einer unzulässigen Gläubigerbevorzugung gleich. Aus dem gleichen Grund seien die Krankheits- und Selbstbehaltskosten, die sich auf die Jahre 2002 bzw. 2008 bezögen, ausser Acht zu lassen. Kosten für erhöhten Nahrungsbedarf und auswärtige Verpflegung stellten Berufsauslagen dar, die beim Beschwerdeführer als Suva-Rentner nicht anfielen. Hingegen könnten erhöhte Krankheitskosten infolge Diabetes und Invalidität grundsätzlich zu Lasten des Notbedarfs beansprucht werden, doch habe der Beschwerdeführer keine entsprechenden Unterlagen eingereicht, so dass er auch in diesem Punkt auf den Weg der Revision der Pfändung zu verweisen sei.</w:t>
      </w:r>
    </w:p>
    <w:p>
      <w:r>
        <w:rPr>
          <w:b/>
        </w:rPr>
        <w:t>E. 4.1</w:t>
      </w:r>
    </w:p>
    <w:p>
      <w:r>
        <w:t>Nach der ständigen Rechtsprechung des Bundesgerichts gehören Steuern grundsätzlich überhaupt nicht zum betreibungsrechtlichen Existenzminimum, geht es doch nicht an, den Staat gegenüber den übrigen Gläubigern zu bevorzugen ( BGE 129 III 385 E. 5.2.1 S. 390; 127 III 289 E. 2a/bb S. 292; je mit Hinweisen; vgl. auch BGE 135 I 221 E. 5.2.1 S. 224). Die Vorbringen, mit denen der Beschwerdeführer die Berücksichtigung eines höheren Steuerbetrags anstrebt als von der kantonalen Aufsichtsbehörde zugestanden, stossen daher von vornherein ins Leere. Da die Betreibungsgläubigerin keine Beschwerde erhoben hat, hat es in diesem Punkt indessen beim vorinstanzlichen Entscheid zu bleiben ( Art. 107 Abs. 1 BGG ; Verschlechterungsverbot).</w:t>
      </w:r>
    </w:p>
    <w:p>
      <w:r>
        <w:rPr>
          <w:b/>
        </w:rPr>
        <w:t>E. 4.2</w:t>
      </w:r>
    </w:p>
    <w:p>
      <w:r>
        <w:t>Nach wie vor verlangt der Beschwerdeführer, dass die dem Untersuchungsrichteramt B.________ geschuldeten Raten und die Prämien an die Versicherung A.________ zu Lasten seines Notbedarfs zu berücksichtigen seien. Indessen legt er nicht dar, inwiefern die vorinstanzliche Auffassung, dies käme einer unzulässigen Gläubigerbevorzugung gleich, bundesrechtswidrig sein soll. Die Feststellung der kantonalen Aufsichtsbehörde, zu den geltend gemachten erhöhten Krankheitskosten wegen Diabetes und Invalidität seien keine Unterlagen eingereicht worden, stellt der Beschwerdeführer nicht in Abrede. Sein Einwand, es handle sich um laufende Forderungen, die im Jahre 2009 angefallen seien bzw. anfielen und von denen er keine Kenntnis (gehabt) habe, stösst insofern ins Leere, als die Vorinstanz bemerkt, der Beschwerdeführer könne bei Nachweis entsprechender Zahlungen eine Revision der Pfändung verlangen.</w:t>
      </w:r>
    </w:p>
    <w:p>
      <w:r>
        <w:rPr>
          <w:b/>
        </w:rPr>
        <w:t>E. 4.3</w:t>
      </w:r>
    </w:p>
    <w:p>
      <w:r>
        <w:t>Von vornherein nicht zu hören sind schliesslich die Darlegungen des Beschwerdeführers zu der der Betreibung zugrunde liegenden Forderung, deren Bestand zu überprüfen einzig der Richter, nicht aber die betreibungsrechtliche Aufsichtsbehörde befugt ist.</w:t>
      </w:r>
    </w:p>
    <w:p>
      <w:r>
        <w:rPr>
          <w:b/>
        </w:rPr>
        <w:t>E. 5</w:t>
      </w:r>
    </w:p>
    <w:p>
      <w:r>
        <w:t>Auf die Beschwerde ist nach dem Gesagten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