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5A_756/2019 vom 13. Februar 2020</w:t>
      </w:r>
    </w:p>
    <w:p>
      <w:r>
        <w:t>Bundesgericht, 2020-02-13, FR</w:t>
      </w:r>
    </w:p>
    <w:p>
      <w:r>
        <w:rPr>
          <w:b/>
        </w:rPr>
        <w:t xml:space="preserve">Quelle: </w:t>
      </w:r>
      <w:r>
        <w:t>https://mcp.opencaselaw.ch/entscheid/bger_5A_756_2019</w:t>
      </w:r>
    </w:p>
    <w:p>
      <w:r>
        <w:t>FR: TF 5A_756/2019 du 13 février 2020</w:t>
      </w:r>
    </w:p>
    <w:p>
      <w:r>
        <w:t>IT: TF 5A_756/2019 del 13 febbraio 2020</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civile ( art. 72 al. 1 LTF ; arrêt 5A_943/2016 du 1er juin 2017 consid. 1 et la référence) de nature non pécuniaire.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art. 106 al. 2 LTF ), c'est-à-dire expressément soulevés et exposés de manière claire et détaillée (" principe d'allégation "; ATF 143 II 283 consid. 1.2.2; 142 II 369 consid. 2.1; 142 III 364 consid. 2.4).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Sous des angles qui se recoupent partiellement, la recourante se plaint d'arbitraire dans la constatation des faits et l'appréciation des preuves ainsi que dans l'application des art. 298d et 445 al. 1 CC . Sur le fond, elle soutient en substance que le changement de garde n'apparaît pas comme une mesure propre à préserver l'enfant dans son développement ou à le protéger et qu'il avait fortement compromis le besoin de stabilité de celui-ci.</w:t>
      </w:r>
    </w:p>
    <w:p>
      <w:r>
        <w:rPr>
          <w:b/>
        </w:rPr>
        <w:t>E. 3.1.1</w:t>
      </w:r>
    </w:p>
    <w:p>
      <w:r>
        <w:t>A la requête de l'un des parents ou de l'enfant ou encore d'office, l'autorité de protection de l'enfant modifie l'attribution de l'autorité parentale lorsque des faits nouveaux importants le commandent pour le bien de l'enfant ( art. 298d al. 1 CC ). Elle peut aussi se limiter à statuer sur la garde de l'enfant, les relations personnelles ou la participation de chaque parent à sa prise en charge ( art. 298d al. 2 CC ).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5A_406/2018 du 26 juillet 2018 consid. 3.1 et les références).</w:t>
      </w:r>
    </w:p>
    <w:p>
      <w:r>
        <w:t>La règle fondamentale pour attribuer la garde est le bien de l'enfant, les intérêts des parents devant être relégués au second plan (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 ATF 142 III 617 consid. 3.2.3-3.2.4; 136 I 178 consid. 5.3; 115 II 206 consid. 4a; arrêt 5A_382/2019 du 9 décembre 2019 consid. 4.2.1 et l'autre référence).</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(arrêts 5A_382/2019 précité consid. 4.2.2; 5A_373/2018 du 8 avril 2019 consid. 3.2.6; 5A_794/2017 du 7 février 2018 consid. 4.1; 5A_512/2017 précité consid. 3.4.3</w:t>
      </w:r>
    </w:p>
    <w:p>
      <w:r>
        <w:t>in fine ).</w:t>
      </w:r>
    </w:p>
    <w:p>
      <w:r>
        <w:rPr>
          <w:b/>
        </w:rPr>
        <w:t>E. 3.1.2</w:t>
      </w:r>
    </w:p>
    <w:p>
      <w:r>
        <w:t>Lorsque l'autorité de protection de l'enfant est compétente pour modifier l'attribution de l'autorité parentale, de la garde, des relations personnelles ou de la participation de chaque parent à la prise en charge de l'enfant ( art. 298d CC ), la procédure est réglée par les art. 314 ss CC . En effet, ces dispositions ne visent pas uniquement les mesures de protection de l'enfant au sens strict, mais aussi les mesures de protection de l'enfant au sens large. Par renvoi de l' art. 314 al. 1 CC , l' art. 445 al. 1 CC permet ainsi à l'autorité de protection de l'enfant de prendre toutes les mesures provisionnelles nécessaires pendant la durée de la procédure (arrêts 5A_293/2019 du 29 août 2019 consid. 5.2.1; 5A_46/2017 du 19 juin 2017 consid. 4.2.2 et les références).</w:t>
      </w:r>
    </w:p>
    <w:p>
      <w:r>
        <w:t>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il s'agit de préférer la mesure qui préserve au mieux les intérêts des parties et donc, entre plusieurs solutions possibles, de choisir la moins incisive (arrêts 5A_293/2019 précité; 5A_46/2017 précité; 5A_943/2016 du 1er juin 2017 consid. 6.2.1</w:t>
      </w:r>
    </w:p>
    <w:p>
      <w:r>
        <w:t>in fine ).</w:t>
      </w:r>
    </w:p>
    <w:p>
      <w:r>
        <w:rPr>
          <w:b/>
        </w:rPr>
        <w:t>E. 3.2</w:t>
      </w:r>
    </w:p>
    <w:p>
      <w:r>
        <w:t>En l'espèce, la cour cantonale a tout d'abord jugé qu'il n'y avait pas lieu de donner suite aux mesures d'instruction sollicitées par la recourante, respectivement à sa réquisition de production de pièces en mains de tiers concernant notamment sa participation à diverses séances. Après une appréciation anticipée, il apparaissait en effet que, même si les moyens proposés devaient permettre d'établir les faits allégués par la recourante, ceux-ci ne seraient pas de nature à modifier l'appréciation effectuée par le premier juge sur la base des éléments au dossier de première instance.</w:t>
      </w:r>
    </w:p>
    <w:p>
      <w:r>
        <w:t>Les juges cantonaux ont ensuite constaté que le rapport du SPJ du 31 mai 2019 faisait notamment état du comportement inquiétant de l'enfant, de son agressivité, de sa fragilité psychique particulièrement préoccupante et d'une grave mise en danger de son développement. Il ressortait par ailleurs du rapport que les demandes et revendications de la mère n'étaient pas du tout en lien avec les besoins de l'enfant et que le père était en mesure d'apporter à celui-ci davantage de stabilité émotionnelle. Au demeurant, et alors que la recourante relevait l'impact négatif sur l'enfant du manque de communication parentale, elle avait suspendu la thérapie de coparentalité auprès de la Dresse D.________ au mois de novembre 2018. Elle ne s'était en outre pas rendue à plusieurs rendez-vous fixés avec divers intervenants et faisait preuve d'un manque d'investissement dans la prise en charge psychologique de l'enfant, alors que le père était quant à lui décrit comme collaborant. Peu importait d'ailleurs que la recourante eût pris, précipitamment, à la lecture du rapport du SPJ du 31 mai 2019, divers rendez-vous médicaux. Les constatations effectuées par le SPJ étaient claires et surtout alarmantes, dès lors notamment qu'il était fait état d'une grave mise en danger du développement de l'enfant. Dans ces circonstances, et considérant que le bien de l'enfant doit primer, c'était à bon droit que le premier juge avait donné suite à la proposition du SPJ. Par ailleurs et dès lors que l'enfant semblait avoir grandement besoin d'une stabilité émotionnelle, il était essentiel de ne pas changer sans cesse ses repères. Durant la durée de l'enquête, il se justifiait ainsi d'autant plus de le maintenir chez son père, auprès duquel il vivait depuis le 20 juillet 2019.</w:t>
      </w:r>
    </w:p>
    <w:p>
      <w:r>
        <w:rPr>
          <w:b/>
        </w:rPr>
        <w:t>E. 3.3</w:t>
      </w:r>
    </w:p>
    <w:p>
      <w:r>
        <w:t>La recourante ne prétend pas que le comportement inquiétant de l'enfant, son agressivité, sa fragilité psychique particulièrement préoccupante ainsi que la grave mise en danger de son développement ne constitueraient pas des circonstances nouvelles au sens de la jurisprudence susrappelée. Il convient donc uniquement d'examiner s'il était dans l'intérêt de l'enfant d'ordonner sur mesures provisionnelles le changement de garde préconisé par le SPJ.</w:t>
      </w:r>
    </w:p>
    <w:p>
      <w:r>
        <w:t>S'il est vrai que le juge peut s'écarter d'un rapport d'évaluation sociale à des conditions moins strictes que celles valant pour une expertise psychiatrique du groupe familial, il convient néanmoins qu'il existe des motifs pour ce faire. Or en l'occurrence, hormis affirmer péremptoirement que le transfert de la garde au père a été préavisé par le SPJ en réaction aux critiques qu'elle avait formulées à son endroit, la recourante ne met en évidence aucun élément qui ferait apparaître comme insoutenable le fait d'avoir suivi les recommandations formulées dans le rapport litigieux.</w:t>
      </w:r>
    </w:p>
    <w:p>
      <w:r>
        <w:t>S'agissant de l'urgence à statuer, la recourante ne remet pas valablement en cause le caractère alarmant de la situation constaté par la cour cantonale sur la base dudit rapport. Elle se borne en effet à affirmer que ses compétences parentales n'ont jamais été mises en doute et que le comportement psychologique de son fils ne lui est pas imputable, aucun professionnel n'ayant relevé qu'elle mettrait elle- même directement en danger son développement. Or, sans que cela soit contesté, il résulte du rapport du SPJ que l'état psychique de l'enfant s'est progressivement dégradé depuis la reddition du rapport de l'Unité évaluation et missions spécifiques (UEMS) de juillet 2017 et qu'il le mettait aujourd'hui gravement en danger. C'est donc sans arbitraire que la cour cantonale a confirmé l'urgence de la mesure. Quant à sa proportionnalité, la recourante est d'avis que les mesures déjà mises en oeuvre - suivi psychiatrique de l'enfant, curatelle d'assistance éducative, travail de coparentalité - sont suffisantes et qu'il convenait d'attendre leur résultat. Or, ce faisant, la recourante ne fait qu'opposer sa propre vision à celle de la cour cantonale, ce qui est insuffisant au regard des exigences de motivation susrappelées (cf.</w:t>
      </w:r>
    </w:p>
    <w:p>
      <w:r>
        <w:t>supra consid. 2.1). En tant qu'elle reproche en outre à la cour cantonale de ne pas avoir exposé en quoi le transfert de la garde au père serait de nature à mieux préserver les intérêts de l'enfant ni en quoi ce dernier serait plus à même qu'elle d'apporter à l'enfant une stabilité émotionnelle, elle omet que la cour cantonale a non seulement constaté que l'intimé est décrit comme collaborant dans la prise en charge psychologique de l'enfant mais a aussi jugé qu'au regard du critère de la stabilité, il apparaissait justifié de maintenir l'enfant chez lui dès lors qu'il y vit depuis le 20 juillet 2019. Les considérations de la recourante en lien avec son investissement dans la thérapie de coparentalité, qui n'aurait été suspendue qu'en novembre et décembre 2018, et le suivi psychiatrique de l'enfant, dont plusieurs rendez-vous auraient déjà été fixés avant l'audience de première instance, apparaissent dès lors sans portée et laissent intacte l'appréciation anticipée des preuves à laquelle a procédé la cour cantonale. Il n'y a en effet rien d'insoutenable à considérer que le maintien d'un enfant dans son milieu scolaire ainsi que dans son lieu de vie désormais usuel contribue à lui apporter une certaine stabilité, en soi conforme à son intérêt. La cour cantonale avait déjà retenu ce dernier motif dans sa décision refusant l'effet suspensif. La recourante n'a pas recouru contre cette décision et a préféré requérir, deux semaines après son prononcé, des mesures superprovisionnelles et provisionnelles en lien avec le lieu de scolarisation de l'enfant. Or, comme l'a retenu la cour cantonale sans arbitraire, la scolarisation de l'enfant près du domicile du parent gardien - même à titre provisoire - s'inscrit dans la charge d'encadrement quotidien assumée par ce dernier. Dès lors que la décision d'attribuer la garde au père n'avait pas été suspendue, le changement du lieu de scolarisation était inévitable et la recourante ne saurait à ce stade s'en prévaloir pour soutenir que le changement de garde porterait atteinte au besoin de stabilité de l'enfant.</w:t>
      </w:r>
    </w:p>
    <w:p>
      <w:r>
        <w:t>Infondée, la critique de la recourante doit être rejetée dans la mesure de sa recevabilité.</w:t>
      </w:r>
    </w:p>
    <w:p>
      <w:r>
        <w:rPr>
          <w:b/>
        </w:rPr>
        <w:t>E. 4</w:t>
      </w:r>
    </w:p>
    <w:p>
      <w:r>
        <w:t>La recourante s'en prend encore au refus de la cour cantonale de lui accorder le bénéfice de l'assistance judiciaire. Elle n'établit toutefois pas d'une manière conforme aux exigences de l' art. 106 al. 2 LTF en quoi l' art. 117 let. b CPC aurait été appliqué de manière arbitraire ou l' art. 29 al. 3 Cst. - qu'elle ne mentionne même pas - violé. Elle se contente en effet d'affirmer que sa " capacité éducative " n'avait jamais été remise en cause et qu'elle avait un droit légitime de recourir contre une décision injustifiée comme le démontraient les arguments développés dans le présent recours.</w:t>
      </w:r>
    </w:p>
    <w:p>
      <w:r>
        <w:rPr>
          <w:b/>
        </w:rPr>
        <w:t>E. 5</w:t>
      </w:r>
    </w:p>
    <w:p>
      <w:r>
        <w:t>En définitive, le recours est rejeté dans la mesure de sa recevabilité. Le recours au Tribunal fédéral n'offrait pas davantage de chances de succès que le recours cantonal, en sorte que la recourante n'a pas droit à l'assistance judiciaire dans l'instance fédérale ( art. 64 al. 1 LTF ). Dès lors qu'elle succombe, elle supportera les frais de la procédure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