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5A_755/2017 vom 5. Oktober 2017</w:t>
      </w:r>
    </w:p>
    <w:p>
      <w:r>
        <w:t>Bundesgericht, 2017-10-05, FR</w:t>
      </w:r>
    </w:p>
    <w:p>
      <w:r>
        <w:rPr>
          <w:b/>
        </w:rPr>
        <w:t xml:space="preserve">Quelle: </w:t>
      </w:r>
      <w:r>
        <w:t>https://mcp.opencaselaw.ch/entscheid/bger_5A_755_2017</w:t>
      </w:r>
    </w:p>
    <w:p>
      <w:r>
        <w:t>FR: TF 5A_755/2017 du 5 octobre 2017</w:t>
      </w:r>
    </w:p>
    <w:p>
      <w:r>
        <w:t>IT: TF 5A_755/2017 del 5 ottobre 2017</w:t>
      </w:r>
    </w:p>
    <w:p>
      <w:pPr>
        <w:pStyle w:val="Heading2"/>
      </w:pPr>
      <w:r>
        <w:t>Erwägungen</w:t>
      </w:r>
    </w:p>
    <w:p>
      <w:r>
        <w:rPr>
          <w:b/>
        </w:rPr>
        <w:t>E. 1</w:t>
      </w:r>
    </w:p>
    <w:p>
      <w:r>
        <w:t>Par arrêt du 10 août 2017, la Chambre civile de la Cour de justice du canton de Genève a déclaré recevable l'appel interjeté le 30 mars 2017 par A.A.________ contre les chiffres 3 et 5 du dispositif du jugement de mesures protectrices de l'union conjugale rendu le 16 mars 2017 par le Tribunal de première instance, annulé le chiffre 5 du dispositif dudit jugement et, statuant à nouveau, condamné A.A.________ à verser à son épouse, B.A.________, la somme de 8'565 fr. à titre d'arriérés de contribution à l'entretien de leur fils, C.________, pour la période du 1er mai 2016 au 31 juillet 2017, ainsi qu'une contribution d'entretien mensuelle pour leur enfant de 1'195 fr., dès le 1er août 2017.</w:t>
      </w:r>
    </w:p>
    <w:p>
      <w:r>
        <w:rPr>
          <w:b/>
        </w:rPr>
        <w:t>E. 2</w:t>
      </w:r>
    </w:p>
    <w:p>
      <w:r>
        <w:t>Par acte remis à la Poste suisse le 26 septembre 2017, A.A.________ exerce un recours en matière civile au Tribunal fédéral, contestant le chiffre 5 du jugement de mesures protectrices de l'union conjugale et concluant à l'octroi de la garde alternée sur leur enfant.</w:t>
      </w:r>
    </w:p>
    <w:p>
      <w:r>
        <w:t>Le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Or, le recourant critique le régime de garde en soulevant certes le grief d'arbitraire dans l'application de l' art. 176 al. 3 CC , mais se limite en réalité à substituer sa propre appréciation de la cause à celle de la cour cantonale. Il ne démontre pas avec précision et de manière détaillée en quoi la motivation de l'arrêt déféré violerait la clause de prohibition de l'arbitraire ( art. 9 Cst. ). Le recours ne satisfait par conséquent pas aux exigences accrues de motivation de l' art. 106 al. 2 LTF et doit donc être déclaré irrecevable.</w:t>
      </w:r>
    </w:p>
    <w:p>
      <w:r>
        <w:t>En définitive, le recours doit être déclaré irrecevable selon la procédure simplifiée de l' art. 108 al. 1 let. b LTF .</w:t>
      </w:r>
    </w:p>
    <w:p>
      <w:r>
        <w:rPr>
          <w:b/>
        </w:rPr>
        <w:t>E. 3</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