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5A_754/2025 vom 28. Oktober 2025</w:t>
      </w:r>
    </w:p>
    <w:p>
      <w:r>
        <w:t>Bundesgericht, 2025-10-28, DE</w:t>
      </w:r>
    </w:p>
    <w:p>
      <w:r>
        <w:rPr>
          <w:b/>
        </w:rPr>
        <w:t xml:space="preserve">Quelle: </w:t>
      </w:r>
      <w:r>
        <w:t>https://mcp.opencaselaw.ch/entscheid/bger_5A_754_2025</w:t>
      </w:r>
    </w:p>
    <w:p>
      <w:r>
        <w:t>FR: TF 5A_754/2025 du 28 octobre 2025</w:t>
      </w:r>
    </w:p>
    <w:p>
      <w:r>
        <w:t>IT: TF 5A_754/2025 del 28 ottobre 2025</w:t>
      </w:r>
    </w:p>
    <w:p>
      <w:pPr>
        <w:pStyle w:val="Heading2"/>
      </w:pPr>
      <w:r>
        <w:t>Erwägungen</w:t>
      </w:r>
    </w:p>
    <w:p>
      <w:r>
        <w:rPr>
          <w:b/>
        </w:rPr>
        <w:t>E. 1</w:t>
      </w:r>
    </w:p>
    <w:p>
      <w:r>
        <w:t>Das Bundesgericht prüft von Amtes wegen und mit freier Kognition, ob eine Beschwerde zulässig ist ( Art. 29 Abs. 1 BGG ; BGE 147 I 89 E. 1 mit Hinweis).</w:t>
      </w:r>
    </w:p>
    <w:p>
      <w:r>
        <w:rPr>
          <w:b/>
        </w:rPr>
        <w:t>E. 2</w:t>
      </w:r>
    </w:p>
    <w:p>
      <w:r>
        <w:t>Fristgerecht ( Art. 100 Abs. 1 BGG ) angefochten ist der Entscheid, mit welchem eine letzte kantonale Instanz auf Rechtsmittel hin ( Art. 75 BGG ) vorsorglich und zeitlich befristet über den Entzug des Aufenthaltsbestimmungsrechts der Beschwerdeführer und die Fremdplatzierung ihres Sohnes (Art. 310 Abs. 1 i.V.m. Art. 445 Abs. 1 ZGB ) geurteilt hat. Dabei handelt es sich um einen selbständig eröffneten Zwischenentscheid, welcher einen nicht wieder gutzumachenden Nachteil im Sinne von Art. 93 Abs. 1 lit. a BGG zur Folge haben kann (Urteil 5A_779/2024 vom 24. März 2025 E. 1.1 mit Hinweis). Die streitige Kindesschutzmassnahme beschlägt ferner eine nicht vermögensrechtliche, öffentlich-rechtliche Angelegenheit in unmittelbarem Zusammenhang mit Zivilrecht (Art. 72 Abs. 2 lit. b Ziff. 6 BGG), sodass die Beschwerde in Zivilsachen grundsätzlich offensteht.</w:t>
      </w:r>
    </w:p>
    <w:p>
      <w:r>
        <w:rPr>
          <w:b/>
        </w:rPr>
        <w:t>E. 3</w:t>
      </w:r>
    </w:p>
    <w:p>
      <w:r>
        <w:t>Die Zulässigkeit der Beschwerde in Zivilsachen setzt weiter das Beschwerderecht voraus.</w:t>
      </w:r>
    </w:p>
    <w:p>
      <w:r>
        <w:rPr>
          <w:b/>
        </w:rPr>
        <w:t>E. 3.1</w:t>
      </w:r>
    </w:p>
    <w:p>
      <w:r>
        <w:t>Nach Art. 76 Abs. 1 BGG ist zur Beschwerde in Zivilsachen berechtigt, wer vor der Vorinstanz am Verfahren teilgenommen hat oder keine Möglichkeit zur Teilnahme erhalten hat (lit. a) und durch den angefochtenen Entscheid besonders berührt ist und ein schutzwürdiges Interesse an dessen Aufhebung oder Änderung hat (lit. b). Das schutzwürdige Interesse besteht im praktischen Nutzen, den die Gutheissung des Rechtsmittels der rechtsuchenden Partei verschaffen würde, indem ihr der Nachteil (wirtschaftlicher, ideeller, materieller oder anderer Natur) erspart bliebe, den der angefochtene Entscheid für sie bedeutet ( BGE 143 III 578 E. 3.2.2.2; 138 III 537 E. 1.2.2; je mit Hinweisen).</w:t>
      </w:r>
    </w:p>
    <w:p>
      <w:r>
        <w:t>Die Beschwerdebefugnis setzt in der Regel ein aktuelles und praktisches Interesse an der Gutheissung der gestellten Rechtsbegehren voraus, das auch im Zeitpunkt der Fällung des bundesgerichtlichen Urteils vorhanden sein muss ( BGE 140 III 92 E. 1.1 mit Hinweis). Ob ein aktuelles Interesse gegeben ist, beurteilt sich nach den Wirkungen und der Tragweite einer allfälligen Gutheissung der Beschwerde (Urteile 5A_49/2025 vom 12. September 2025 E. 3.1; 5A_760/2022 vom 3. Januar 2023 E. 3.1 mit Hinweis).</w:t>
      </w:r>
    </w:p>
    <w:p>
      <w:r>
        <w:t>Ist das aktuelle Interesse schon bei Einreichung der Beschwerde nicht gegeben, so tritt das Bundesgericht auf die Beschwerde nicht ein ( BGE 136 III 497 E. 2.1 mit Hinweisen). Es sieht aber vom Erfordernis eines aktuellen Rechtsschutzinteresses ab, wenn sich die mit der Beschwerde aufgeworfenen grundsätzlichen Fragen jeweils unter gleichen oder ähnlichen Umständen wieder stellen können, ohne dass im Einzelfall rechtzeitig eine bundesgerichtliche Prüfung möglich wäre (sog. virtuelles Interesse; BGE 146 II 335 E. 1.3 ; 142 I 135 E. 1.3.1; 140 III 92 E. 1.1 mit Hinweis).</w:t>
      </w:r>
    </w:p>
    <w:p>
      <w:r>
        <w:t>Die beschwerdeführende Partei hat unter Gewärtigung der Nichteintretensfolge darzulegen, dass die gesetzlichen Voraussetzungen des Beschwerderechts gegeben sind. Soweit diese nicht ohne Weiteres ersichtlich sind, ist es nicht Aufgabe des Bundesgerichts, anhand der Akten oder weiterer, noch beizuziehender Unterlagen nachzuforschen, ob und inwiefern die Beschwerde zuzulassen ist ( BGE 135 III 46 E. 4; Urteil 4A_571/2023 vom 18. Januar 2024 E. 2.1</w:t>
      </w:r>
    </w:p>
    <w:p>
      <w:r>
        <w:t>in fine ; je mit Hinweisen). Dies gilt auch für die Frage, weshalb die Voraussetzungen für die Behandlung der Beschwerde trotz fehlenden aktuellen Interesses gegeben sind (zum Ganzen: Urteile 5A_677/2022 vom 20. Februar 2023 E. 1.2.1; 5A_760/2022 vom 3. Januar 2023 E. 3.1 mit Hinweis).</w:t>
      </w:r>
    </w:p>
    <w:p>
      <w:r>
        <w:rPr>
          <w:b/>
        </w:rPr>
        <w:t>E. 3.2</w:t>
      </w:r>
    </w:p>
    <w:p>
      <w:r>
        <w:t>Die Beschwerdeführer thematisieren die Frage der Beschwerdelegitimation nicht.</w:t>
      </w:r>
    </w:p>
    <w:p>
      <w:r>
        <w:t>Die im Streit stehende vorsorgliche Kindesschutzmassnahme fiel mit Ablauf ihrer eigenen Befristung per 15. August 2025 dahin (vgl. Art. 450f ZGB i.V.m. § 5 Abs. 1 Satz 3 des Kindes- und Erwachsenenschutzgesetzes des Kantons Basel-Stadt vom 12. September 2012 [KESG; SG 212.400]). Sodann weisen die Beschwerdeführer in ihrer Beschwerdeschrift darauf hin, dass ihr Sohn nach Hause zurückgekehrt ist. Ein aktuelles und praktisches Interesse an der Aufhebung des angefochtenen Entscheids bestand somit bereits im Zeitpunkt der Einreichung der hiesigen Beschwerde nicht mehr. Die Beschwerdeführer erläutern nicht, weshalb das Gegenteil der Fall sein sollte.</w:t>
      </w:r>
    </w:p>
    <w:p>
      <w:r>
        <w:t>Ferner ergibt sich weder aus dem Sachverhalt im angefochtenen Entscheid noch machen die Beschwerdeführer geltend, dass die KESB ihnen in der Vergangenheit wiederholt befristet das Aufenthaltsbestimmungsrecht über ihren Sohn entzogen hätte oder ein erneuter befristeter Entzug angekündigt worden oder absehbar sei. Mithin bestehen keine Anhaltspunkte dafür, dass eine rechtzeitige Überprüfung der Rechtmässigkeit dieser Kindesschutzmassnahme durch das Bundesgericht überhaupt je rechtzeitig stattfinden könnte. Ein virtuelles Interesse ist weder behauptet und dargetan, noch springt ein solches geradezu in die Augen.</w:t>
      </w:r>
    </w:p>
    <w:p>
      <w:r>
        <w:t>Soweit es den Beschwerdeführern darum geht, die Widerrechtlichkeit der dahingefallenen Kindesschutzmassnahme feststellen zu lassen, sind sie auf das Klageverfahren nach Art. 454 ZGB zu verweisen (vgl. BGE 140 III 92 E. 2.3</w:t>
      </w:r>
    </w:p>
    <w:p>
      <w:r>
        <w:t>in fine ). Auf die Beschwerde kann deshalb nicht eingetreten werden.</w:t>
      </w:r>
    </w:p>
    <w:p>
      <w:r>
        <w:rPr>
          <w:b/>
        </w:rPr>
        <w:t>E. 4</w:t>
      </w:r>
    </w:p>
    <w:p>
      <w:r>
        <w:t>Bei diesem Verfahrensausgang werden die Beschwerdeführer zu gleichen Teilen und unter solidarischer Haftung kostenpflichtig ( Art. 66 Abs. 1 und 5 BGG ). Aus dem vorstehend Ausgeführten ergibt sich, dass ihre Rechtsbegehren von vornherein aussichtslos waren, sodass die Voraussetzungen für die Gewährung der unentgeltlichen Rechtspflege nicht erfüllt sind ( Art. 64 Abs. 1 BGG ). Eine Parteientschädigung ist demgegenüber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