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5A_752/2019 vom 25. September 2019</w:t>
      </w:r>
    </w:p>
    <w:p>
      <w:r>
        <w:t>Bundesgericht, 2019-09-25, IT</w:t>
      </w:r>
    </w:p>
    <w:p>
      <w:r>
        <w:rPr>
          <w:b/>
        </w:rPr>
        <w:t xml:space="preserve">Quelle: </w:t>
      </w:r>
      <w:r>
        <w:t>https://mcp.opencaselaw.ch/entscheid/bger_5A_752_2019</w:t>
      </w:r>
    </w:p>
    <w:p>
      <w:r>
        <w:t>FR: TF 5A_752/2019 du 25 septembre 2019</w:t>
      </w:r>
    </w:p>
    <w:p>
      <w:r>
        <w:t>IT: TF 5A_752/2019 del 25 settembre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 corso del 2018 l'Autorità regionale di protezione 1 sede di Chiasso ha ricevuto diverse segnalazioni da parte della polizia e di Pro Senectute relative a violenti litigi intercorsi tra i coniugi A.________ e B.________. Sempre nel 2018 A.________ ha chiesto la nomina di un curatore per la gestione delle finanze (alla base delle tensioni tra i coniugi) e B.________ ha poi espresso il proprio accordo all'istituzione di una curatela per entrambi.</w:t>
      </w:r>
    </w:p>
    <w:p>
      <w:r>
        <w:t>Mediante decisione 20 marzo 2019 l'autorità di protezione ha istituito una curatela di rappresentanza con amministrazione del reddito e del patrimonio ai sensi degli art. 394 e 395 CC in favore dei coniugi.</w:t>
      </w:r>
    </w:p>
    <w:p>
      <w:r>
        <w:t>Con sentenza 20 agosto 2019 il Presidente della Camera di protezione del Tribunale d'appello del Cantone Ticino ha respinto il reclamo mediante il quale A.________ e B.________ hanno chiesto di annullare la predetta decisione (affermando di potersi gestire autonomamente). Dopo aver illustrato i presupposti per l'istituzione di una curatela, il Giudice cantonale ha osservato che nel caso concreto i coniugi non sono in grado di provvedere a loro stessi in autonomia a causa del loro stato di debolezza (v. art. 390 cpv. 1 n. 1 CC ), per cui la misura istituita dall'autorità di protezione risponde ai requisiti legali; considerato che i violenti litigi tra i coniugi perdurano ancora attualmente, sarebbe anzi auspicabile la valutazione di misure di protezione più incisive a tutela degli interessati.</w:t>
      </w:r>
    </w:p>
    <w:p>
      <w:r>
        <w:rPr>
          <w:b/>
        </w:rPr>
        <w:t>E. 2</w:t>
      </w:r>
    </w:p>
    <w:p>
      <w:r>
        <w:t>Con " opposizione " 19 settembre 2019 A.________ e B.________ hanno impugnato la sentenza cantonale dinanzi al Tribunale federale.</w:t>
      </w:r>
    </w:p>
    <w:p>
      <w:r>
        <w:t>Non sono state chieste determinazioni.</w:t>
      </w:r>
    </w:p>
    <w:p>
      <w:r>
        <w:rPr>
          <w:b/>
        </w:rPr>
        <w:t>E. 3</w:t>
      </w:r>
    </w:p>
    <w:p>
      <w:r>
        <w:t>L'atto ricorsuale al Tribunale federale deve contenere le conclusioni ed i motivi ( art. 42 cpv. 1 LTF ). Nei motivi il ricorrente deve spiegare, confrontandosi con i considerandi della sentenza impugnata ( DTF 143 II 283 consid. 1.2.2; 140 III 86 consid. 2; 134 II 244 consid. 2.1), perché quest'ultima leda il diritto ( art. 42 cpv. 2 LTF ).</w:t>
      </w:r>
    </w:p>
    <w:p>
      <w:r>
        <w:t>Il rimedio all'esame non soddisfa le esigenze di motivazione dell' art. 42 cpv. 2 LTF . I ricorrenti, infatti, non si misurano minimamente con gli argomenti esposti nella sentenza impugnata e non spiegano in che modo essa sarebbe contraria al diritto, ma si limitano ad affermare "che la polizia in tutto questo lasso di tempo è intervenuta solo una volta" e a fornire quale indicazione generica sul loro stato di salute fisico e mentale.</w:t>
      </w:r>
    </w:p>
    <w:p>
      <w:r>
        <w:rPr>
          <w:b/>
        </w:rPr>
        <w:t>E. 4</w:t>
      </w:r>
    </w:p>
    <w:p>
      <w:r>
        <w:t>Da quanto precede discende che il ricorso, manifestamente non motivato in modo sufficiente, può essere deciso nella procedura semplificata dell' art. 108 cpv. 1 lett. b LTF .</w:t>
      </w:r>
    </w:p>
    <w:p>
      <w:r>
        <w:t>Le spese giudiziarie seguono la soccombenza ( art. 66 cpv.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