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752/2009 vom 11. Februar 2010</w:t>
      </w:r>
    </w:p>
    <w:p>
      <w:r>
        <w:t>Bundesgericht, 2010-02-11, FR</w:t>
      </w:r>
    </w:p>
    <w:p>
      <w:r>
        <w:rPr>
          <w:b/>
        </w:rPr>
        <w:t xml:space="preserve">Quelle: </w:t>
      </w:r>
      <w:r>
        <w:t>https://mcp.opencaselaw.ch/entscheid/bger_5A_752_2009</w:t>
      </w:r>
    </w:p>
    <w:p>
      <w:r>
        <w:t>FR: TF 5A 752/2009 du 11 février 2010</w:t>
      </w:r>
    </w:p>
    <w:p>
      <w:r>
        <w:t>IT: TF 5A 752/2009 del 11 febbraio 2010</w:t>
      </w:r>
    </w:p>
    <w:p>
      <w:pPr>
        <w:pStyle w:val="Heading2"/>
      </w:pPr>
      <w:r>
        <w:t>Regeste</w:t>
      </w:r>
    </w:p>
    <w:p>
      <w:r>
        <w:t>mesures protectrices de l'union conjugale | Droit de la famille</w:t>
      </w:r>
    </w:p>
    <w:p>
      <w:pPr>
        <w:pStyle w:val="Heading2"/>
      </w:pPr>
      <w:r>
        <w:t>Erwägungen</w:t>
      </w:r>
    </w:p>
    <w:p>
      <w:r>
        <w:rPr>
          <w:b/>
        </w:rPr>
        <w:t>E. 1.1</w:t>
      </w:r>
    </w:p>
    <w:p>
      <w:r>
        <w:t>Le recours au Tribunal fédéral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133 V 477 consid. 4.2 p. 481/482) et n'est pas non plus de nature à causer un préjudice irréparable aux parties, le seul allongement de la durée de la procédure ou le seul fait que son coût s'en trouve augmenté n'étant pas considérés comme des éléments constitutifs d'un tel dommage ( ATF 133 V 477 consid. 5.2.2 p. 483 et les références citées). L'arrêt attaqué annule la décision de l'autorité inférieure en tant qu'elle se prononce sur l'attribution de la garde des enfants et renvoie la cause au premier juge pour nouvelle décision dans le sens des considérants, en application de l'art. 426 al. 1 du code de procédure civile neuchâtelois (CPC/NE), ce magistrat étant lié par les motifs juridiques de l'autorité cantonale de cassation (François Bohnet, Code de procédure civile neuchâtelois commenté, 2e éd. 2005, n. 2 ad art. 426 al. 2). Cette juridiction, admettant le recours de la mère sur ce point, a estimé qu'une attribution de la garde des enfants à celle-ci répondait mieux à leurs intérêts. Elle a dès lors renvoyé la cause au premier juge pour qu'il confie la garde des enfants à leur mère et, par voie de conséquence, statue sur le droit de visite du père ainsi que sur les contributions d'entretien en faveur de sa famille. L'autorité de première instance ne pourra donc a priori pas revoir la question de l'attribution de la garde des enfants. Quoi qu'il en soit, l'admission du recours permettrait de conduire immédiatement à une décision finale selon l' art. 93 al. 1 let. b LTF , dont les conditions paraissent ainsi réalisées. Aussi convient-il d'admettre que l'arrêt attaqué peut faire l'objet d'un recours immédiat au Tribunal fédéral.</w:t>
      </w:r>
    </w:p>
    <w:p>
      <w:r>
        <w:rPr>
          <w:b/>
        </w:rPr>
        <w:t>E. 1.2</w:t>
      </w:r>
    </w:p>
    <w:p>
      <w:r>
        <w:t>Le recours porte sur l'attribution de la garde des enfants, soit sur une contestation de nature non pécuniaire. Déposé en temps utile ( art. 100 al. 1 LTF ) contre une décision prise en matière civile ( art. 72 al. 1 LTF ) par l'autorité cantonale de dernière instance ( art. 75 LTF ), il est en principe recevable au regard de ces dispositions.</w:t>
      </w:r>
    </w:p>
    <w:p>
      <w:r>
        <w:rPr>
          <w:b/>
        </w:rPr>
        <w:t>E. 1.3</w:t>
      </w:r>
    </w:p>
    <w:p>
      <w:r>
        <w:t>Comme l'arrêt attaqué concerne des mesures provisionnelles au sens de l' art. 98 LTF ( ATF 133 III 393 consid. 5 p. 396, 585 consid. 3.3 p. 587), la partie recourante ne peut dénoncer que la violation de droits constitutionnels. Le Tribunal fédéral n'examine de tels griefs que s'ils ont été invoqués et motivés ( art. 106 al. 2 LTF ), c'est-à-dire expressément soulevés et exposés de façon claire et détaillée ( ATF 133 III 439 consid. 3.2 p. 444; 133 IV 286 consid. 1.4 p. 287). Il n'entre pas en matière sur les critiques de nature appellatoire ( ATF 133 II 396 consid. 3 p. 399/400). Le recourant qui se plaint d'arbitraire ne saurait, dès lors, se borner à critiquer la décision attaquée comme il le ferait dans une procédure d'appel, où l'autorité jouit d'une libre cognition; il ne peut, en particulier, se contenter d'opposer sa thèse à celle de l'autorité cantonale, mais doit démontrer, par une argumentation précise, que cette décision est entachée d'un vice grave et indiscutable; à défaut, le grief est irrecevable ( ATF 135 III 397 consid. 1.4 p. 400; 133 II 396 consid. 3.2 p. 400).</w:t>
      </w:r>
    </w:p>
    <w:p>
      <w:r>
        <w:rPr>
          <w:b/>
        </w:rPr>
        <w:t>E. 1.4</w:t>
      </w:r>
    </w:p>
    <w:p>
      <w:r>
        <w:t>L'arbitraire, prohibé par l' art. 9 Cst. , ne résulte pas du seul fait qu'une autre solution pourrait entrer en considération ou même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les motifs de la décision soient insoutenables, encore faut-il que la décision apparaisse arbitraire dans son résultat ( ATF 135 V 2 consid. 3 p. 4 s.; 134 I 140 consid. 5.4 p. 148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w:t>
      </w:r>
    </w:p>
    <w:p>
      <w:r>
        <w:rPr>
          <w:b/>
        </w:rPr>
        <w:t>E. 2</w:t>
      </w:r>
    </w:p>
    <w:p>
      <w:r>
        <w:t>Le recourant reproche à l'autorité cantonale d'avoir fait preuve d'arbitraire dans l'appréciation des faits et l'application de l' art. 176 al. 3 CC en attribuant la garde des enfants à leur mère.</w:t>
      </w:r>
    </w:p>
    <w:p>
      <w:r>
        <w:rPr>
          <w:b/>
        </w:rPr>
        <w:t>E. 2.1</w:t>
      </w:r>
    </w:p>
    <w:p>
      <w:r>
        <w:t>Selon l' art. 176 al. 3 CC , relatif à l'organisation de la vie séparée (note marginale), lorsque les époux ont des enfants mineurs, le juge ordonne les mesures nécessaires, d'après les dispositions sur les effets de la filiation (cf. art. 273 ss CC ); en vertu de l' art. 297 al. 2 CC , il peut attribuer la garde des enfants - et exceptionnellement l'autorité parentale - à un seul des parents (ROLF VETTERLI, in FammKomm Scheidung, n. 1 ad art. 176 CC ; IVO SCHWANDER, Commentaire bâlois, 3e éd., n. 12 ad art.176 CC ). Les principes posés par la jurisprudence et la doctrine en matière de divorce sont applicables par analogie (VERENA BRÄM, Commentaire zurichois, n. 89 et 101 ad art. 176 CC ). La règle fondamentale en ce domaine est l'intérêt de l'enfant, celui des parents étant relégué à l'arrière-plan. Le juge doit tenir compte de toutes les circonstances importantes pour le bien de l'enfant et notamment prendre en considération, autant que possible, l'avis de celui-ci ( art. 133 al. 2 CC ).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 ATF 117 II 353 consid. 3 p. 354/355; 115 II 206 consid. 4a p. 209 et 317 consid. 2 p. 319; 114 II 200 consid. 5 p. 203/204).</w:t>
      </w:r>
    </w:p>
    <w:p>
      <w:r>
        <w:rPr>
          <w:b/>
        </w:rPr>
        <w:t>E. 2.2</w:t>
      </w:r>
    </w:p>
    <w:p>
      <w:r>
        <w:t>Selon la décision attaquée, il est établi que la mère des enfants exerce une activité lucrative à 40% alors que leur père travaille à 80 ou 100%. L'arrangement convenu entre les parties prévoit qu'actuellement, c'est la mère des enfants qui s'occupe d'eux pour l'essentiel durant la semaine, puisqu'elle se charge du repas de midi et est à leur disposition jusqu'à 18 heures, soit pour les accueillir à leur retour de l'école et pendant le reste de l'après-midi. Deux des enfants, à savoir l'aînée et le cadet, ont manifesté une préférence plus ou moins marquée pour une attribution à leur mère lorsqu'ils ont été entendus durant l'enquête sociale; quant au troisième enfant, la légère préférence qu'il a indiquée en faveur d'une attribution à son père peut être relativisée, dès lors que celle-ci était induite par un supposé plus haut degré de liberté qu'avec la mère «dans quelques années», ce qui ne correspond pas aux circonstances du moment. Doit également être relativisé le souci du père de ne pas modifier le cadre de vie des enfants, car la mère s'est établie dans le même village de sorte qu'une attribution de la garde des enfants à celle-ci ne modifierait en rien leur parcours scolaire, leur environnement social et leurs possibilités de pratiquer les mêmes loisirs que du temps de la vie commune. La solution adoptée par le premier juge présente en outre le désavantage, compte tenu de la réglementation du droit de visite de la mère, d'aboutir contre la volonté de celle-ci à une situation de garde «quasi-alternée» s'agissant de la prise en charge des enfants durant la journée. Enfin, l'inconvénient de devoir quitter la villa familiale pour emménager dans un appartement sera plus que compensé par la plus grande disponibilité de la mère pour s'occuper personnellement des enfants. Vu ces observations, l'autorité cantonale a considéré qu'une attribution de la garde des enfants à leur mère répondait mieux aux intérêts de ceux-ci.</w:t>
      </w:r>
    </w:p>
    <w:p>
      <w:r>
        <w:rPr>
          <w:b/>
        </w:rPr>
        <w:t>E. 2.3.1</w:t>
      </w:r>
    </w:p>
    <w:p>
      <w:r>
        <w:t>Le recourant reproche à la cour cantonale d'avoir arbitrairement écarté le planning hebdomadaire versé au dossier concernant la garde des enfants durant ses heures de travail et, partant, d'avoir appliqué l' art. 176 al. 3 CC de manière insoutenable en attribuant ceux-ci à leur mère, même si elle n'exerce une activité professionnelle qu'à 40%. Il expose qu'il s'est organisé pour que les enfants soient pris en charge de manière adéquate lorsqu'il travaille et qu'un déménagement représenterait un changement de cadre de vie trop important pour eux, vu leur âge et leur besoin de stabilité. Il importerait donc peu que les horaires de travail de la mère soient plus «flexibles» que les siens. Autant qu'il est suffisamment motivé ( art. 106 al. 2 LTF ), ce grief n'apparaît pas fondé. Il est en effet établi que la mère, qui exerce une activité lucrative à 40%, est plus disponible (sans bénéficier forcément d'horaires de travail plus «flexibles») que le père, lequel travaille à 80% ou à 100%. Or, l'un des critères essentiels pour l'attribution de la garde est la possibilité de prendre en charge les enfants personnellement. Il n'est donc pas déterminant que le père ait mis en place une bonne organisation pour pallier son indisponibilité durant ses heures de travail, un manque d'organisation ne lui étant d'ailleurs nullement reproché. La jurisprudence fédérale citée par le recourant (arrêt 5A_495/2008 du 30 octobre 2008) ne lui est par ailleurs d'aucun secours: dans l'affaire en question, examinée sous l'angle de l'arbitraire, les deux parents étaient occupés professionnellement à 100% puisqu'en plus d'une occupation fixe à 50%, le père passait le reste du temps à composer. Au demeurant, la disponibilité, en l'occurrence plus importante, de la mère n'est pas le seul élément considéré par la cour cantonale, qui a tenu compte d'autres critères déterminants pour l'attribution des enfants. Ainsi, elle a estimé que le souci du père de ne pas modifier leur cadre de vie devait être relativisé dès lors que la mère habitait dans le même village, de sorte que ni leur parcours scolaire, ni leur environnement social ni même leurs possibilités de loisirs ne seraient modifiés. Le recourant fait valoir qu'il réside au domicile conjugal ce qui, du point de vue de la stabilité des enfants, plaiderait en sa faveur car ceux-ci sont très attachés à la villa familiale. Par cette argumentation, il se contente d'opposer son appréciation à celle de l'autorité cantonale, qui a estimé que la plus grande disponibilité de la mère compenserait cet inconvénient, sans que le recourant ne démontre d'arbitraire à ce sujet. Il en va de même lorsqu'il se prévaut du possible changement de domicile de la mère mentionné par l'arrêt attaqué. Les juges précédents ont en effet relevé que, dans une telle éventualité, la situation pourrait être revue: à juste titre, le caractère de chose jugée (relative) des mesures protectrices de l'union conjugale ne faisant pas obstacle à l'introduction d'une nouvelle demande sur ce point; le recourant ne prétend du reste pas le contraire. Ce dernier invoque aussi le rapport de l'Office cantonal des mineurs du 23 octobre 2008, qui conclurait au maintien de la situation actuelle et que l'autorité cantonale aurait arbitrairement écarté. En réalité, cet office a préavisé, en conclusion, en faveur d'une garde alternée et n'a envisagé le statu quo que pour le cas où les parents refuseraient la garde alternée. De plus, l'autorité cantonale a considéré que la solution arrêtée par le premier juge aboutissait quasiment à une situation de garde alternée, contre la volonté de la mère, ce que le recourant ne critique pas. Enfin, et surtout, cette juridiction n'a pas omis de tenir compte du rapport de l'Office cantonal des mineurs, mais a procédé à une appréciation de la situation en pondérant différents critères et éléments pertinents du dossier. Or le recourant n'établit nullement en quoi cette appréciation serait insoutenable.</w:t>
      </w:r>
    </w:p>
    <w:p>
      <w:r>
        <w:rPr>
          <w:b/>
        </w:rPr>
        <w:t>E. 2.3.2</w:t>
      </w:r>
    </w:p>
    <w:p>
      <w:r>
        <w:t>Le recourant soutient aussi que l'autorité cantonale a arbitrairement pris en compte le souhait des enfants, ce d'autant que ceux-ci auraient en premier lieu manifesté une nette préférence pour la garde alternée, et non pour une attribution à leur mère. Il expose qu'une importance prépondérante aurait dû être donnée, en l'occurrence, aux critères de la disponibilité et de la stabilité des parents, et renouvelle l'importance qu'il entend accorder au rapport de l'Office cantonal des mineurs. En ne tenant pas compte de ces éléments, l'autorité cantonale aurait procédé à une constatation des faits manifestement insoutenable, abusé de son pouvoir d'appréciation et violé l' art. 176 al. 3 CC . Cette motivation, de nature appellatoire, ne suffit pas à démontrer que la cour cantonale aurait fait preuve d'arbitraire concernant la prise en considération de l'avis des enfants (cf. art. 133 al. 2 CC ). Le recourant se borne à substituer sa propre opinion à celle des juges précédents, réitérant des critiques - en relation avec le rapport de l'Office cantonal des mineurs ou encore avec l'éventualité d'un changement de domicile de la mère - qui ont déjà été rejetées. Dès lors, il n'établit pas que l'arrêt attaqué serait insoutenable dans son résultat, étant rappelé que l'arbitraire ne résulte pas du seul fait qu'une autre solution serait aussi concevable. Pour le surplus, il n'apparaît pas, et le recourant ne le met d'ailleurs nullement en évidence, que la cour cantonale aurait excédé de manière arbitraire son pouvoir d'appréciation ( art. 4 CC , en relation avec l' art. 9 Cst. ), par exemple en se référant à des critères dénués de pertinence ou en ne tenant pas compte d'éléments essentiels ( ATF 117 II 353 consid. 3 p. 355; 115 II 317 consid. 2 p. 319; cf. aussi ATF 127 III 136 consid. 3a p. 141).</w:t>
      </w:r>
    </w:p>
    <w:p>
      <w:r>
        <w:rPr>
          <w:b/>
        </w:rPr>
        <w:t>E. 3</w:t>
      </w:r>
    </w:p>
    <w:p>
      <w:r>
        <w:t>Vu ce qui précède, le recours apparaît mal fondé et ne peut qu'être rejeté dans la mesure de sa recevabilité. Les frais judiciaires seront mis à la charge du recourant, qui succombe ( art. 66 al. 1 LTF ). Il n'y a pas lieu d'allouer de dépens à l'intimée, qui n'a pas été invitée à répondre sur le fond et qui a conclu au rejet, pour autant qu'elle soit recevable, de la demande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