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5A_751/2018 vom 14. September 2018</w:t>
      </w:r>
    </w:p>
    <w:p>
      <w:r>
        <w:t>Bundesgericht, 2018-09-14, FR</w:t>
      </w:r>
    </w:p>
    <w:p>
      <w:r>
        <w:rPr>
          <w:b/>
        </w:rPr>
        <w:t xml:space="preserve">Quelle: </w:t>
      </w:r>
      <w:r>
        <w:t>https://mcp.opencaselaw.ch/entscheid/bger_5A_751_2018</w:t>
      </w:r>
    </w:p>
    <w:p>
      <w:r>
        <w:t>FR: TF 5A_751/2018 du 14 septembre 2018</w:t>
      </w:r>
    </w:p>
    <w:p>
      <w:r>
        <w:t>IT: TF 5A_751/2018 del 14 settembre 2018</w:t>
      </w:r>
    </w:p>
    <w:p>
      <w:pPr>
        <w:pStyle w:val="Heading2"/>
      </w:pPr>
      <w:r>
        <w:t>Erwägungen</w:t>
      </w:r>
    </w:p>
    <w:p>
      <w:r>
        <w:rPr>
          <w:b/>
        </w:rPr>
        <w:t>E. 1</w:t>
      </w:r>
    </w:p>
    <w:p>
      <w:r>
        <w:t>Par arrêt du 2 août 2018, communiqué aux parties le 10 août 2018, le Juge délégué de la Cour d'appel civile du Tribunal cantonal du canton de Vaud a rejeté, dans la mesure de sa recevabilité, l'appel interjeté le 9 juin 2018 par A.A.________, complété le 18 juin 2018, et confirmé le prononcé rendu le 1er juin 2018 par la Vice-présidente du Tribunal civil de l'arrondissement de l'Est vaudois ordonnant une expertise pédopsychiatrique, nommant un expert avec mission d'évaluer les capacités parentales et de faire des propositions quant à la garde de l'enfant (née en 2016), ainsi qu'au droit de visite, fixant les frais d'expertise et mettant l'avance de frais correspondante par moitié à la charge des parties.</w:t>
      </w:r>
    </w:p>
    <w:p>
      <w:r>
        <w:rPr>
          <w:b/>
        </w:rPr>
        <w:t>E. 2</w:t>
      </w:r>
    </w:p>
    <w:p>
      <w:r>
        <w:t>Par acte du 12 septembre 2018, A.A.________ exerce un recours en matière civile au Tribunal fédéral, sollicitant l'octroi de l'assistance judiciaire pour la procédure fédérale.</w:t>
      </w:r>
    </w:p>
    <w:p>
      <w:r>
        <w:rPr>
          <w:b/>
        </w:rPr>
        <w:t>E. 3</w:t>
      </w:r>
    </w:p>
    <w:p>
      <w:r>
        <w:t>Le présent recours est dirigé contre une décision de mesures protectrices de l'union conjugale,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w:t>
      </w:r>
    </w:p>
    <w:p>
      <w:r>
        <w:t>En l'occurrence, la recourante évoque - parmi d'autres griefs de violation du Code civil ( art. 176 et 273 al. 1 CC ) et de droit cantonal ( art. 26 al. 2 Cst. du canton de Berne) d'emblée irrecevables dans le cadre d'un recours limité par l' art. 98 LTF - la violation de son droit d'être entendue ( art. 29 al. 2 Cst. , 6 CEDH) en lien avec le refus de la Vice-présidente du Tribunal d'arrondissement de reporter l'audience. Toutefois, la recourante se limite à réitérer les mêmes arguments que ceux qu'elle a présenté devant l'autorité précédente. Ce faisant, elle ne s'en prend pas à la motivation de la décision entreprise,</w:t>
      </w:r>
    </w:p>
    <w:p>
      <w:r>
        <w:t>a fortiori elle ne formule aucun grief constitutionnel clair et détaillé contre la motivation de l'arrêt déféré à teneur duquel " la première juge n'a pas mésusé de son pouvoir d'appréciation, compte tenu de la date tardive de la requête, de l'urgence qu'il y avait à statuer sur la requête de mesures provisionnelles et du fait que l'on pouvait exiger de l'appelante qu'elle confie l'enfant à un tiers pour lui permettre d'assister à l'audience ". Il s'ensuit que le recours, qui ne correspond pas aux exigences accrues de motivation des art. 42 al. 2 et 106 al. 2 LTF, doit être déclaré irrecevable.</w:t>
      </w:r>
    </w:p>
    <w:p>
      <w:r>
        <w:rPr>
          <w:b/>
        </w:rPr>
        <w:t>E. 4</w:t>
      </w:r>
    </w:p>
    <w:p>
      <w:r>
        <w:t>En définitive, le recours en matière civile doit être déclaré d'emblée irrecevable, selon la procédure simplifiée prévue à l' art. 108 al. 1 let. b LTF .</w:t>
      </w:r>
    </w:p>
    <w:p>
      <w:r>
        <w:t>Le recours étant dépourvu de chance de succès, la recourante ne peut se voir accorder l'assistance judiciaire pour la procédure fédérale ( art. 64 al. 1 LTF ). Les frais judiciaires, arrêtés à 300 fr., sont mis à la charge de la recourante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