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5A_750/2022 vom 21. Dezember 2022</w:t>
      </w:r>
    </w:p>
    <w:p>
      <w:r>
        <w:t>Bundesgericht, 2022-12-21, FR</w:t>
      </w:r>
    </w:p>
    <w:p>
      <w:r>
        <w:rPr>
          <w:b/>
        </w:rPr>
        <w:t xml:space="preserve">Quelle: </w:t>
      </w:r>
      <w:r>
        <w:t>https://mcp.opencaselaw.ch/entscheid/bger_5A_750_2022</w:t>
      </w:r>
    </w:p>
    <w:p>
      <w:r>
        <w:t>FR: TF 5A_750/2022 du 21 décembre 2022</w:t>
      </w:r>
    </w:p>
    <w:p>
      <w:r>
        <w:t>IT: TF 5A_750/2022 del 21 dicembre 2022</w:t>
      </w:r>
    </w:p>
    <w:p>
      <w:pPr>
        <w:pStyle w:val="Heading2"/>
      </w:pPr>
      <w:r>
        <w:t>Erwägungen</w:t>
      </w:r>
    </w:p>
    <w:p>
      <w:r>
        <w:rPr>
          <w:b/>
        </w:rPr>
        <w:t>E. 1.1</w:t>
      </w:r>
    </w:p>
    <w:p>
      <w:r>
        <w:t>Le recours, formé au motif que la juridiction cantonale tarde à rendre une décision ( art. 94 LTF ) sur une requête en levée d'une curatelle concerne une cause prise en application de normes de droit public dans une matière connexe au droit civil (art. 72 al. 2 let. b ch. 6 LTF). Ce recours peut être déposé en tout temps ( art. 100 al. 7 LTF ).</w:t>
      </w:r>
    </w:p>
    <w:p>
      <w:r>
        <w:rPr>
          <w:b/>
        </w:rPr>
        <w:t>E. 1.2</w:t>
      </w:r>
    </w:p>
    <w:p>
      <w:r>
        <w:t>La personne sous curatelle de coopération voit sa capacité civile active restreinte par rapport aux actes énumérés dans la décision de l'autorité de protection, l'exercice de ses droits civils étant limité de plein droit par rapport à ces actes ( art. 396 CC ; PHILIPPE MEIER, Droit de la protection de l'adulte, 2ème éd. 2022, n° 871 p. 461). Pour ces actes, la personne concernée ne peut agir qu'avec le consentement du curateur de coopération ( art. 396 al. 1 CC ), étant précisé que la curatelle de coopération ne peut en principe pas porter sur des actes relevant de l'exercice des droits strictement personnels au sens de l' art. 19c CC (MEIER, op. cit., n° 869 p. 460). A défaut de consentement, l'acte est boiteux (MEIER, op. cit., n° 875 p. 463).</w:t>
      </w:r>
    </w:p>
    <w:p>
      <w:r>
        <w:t>En l'espèce, il ressort des faits de l'arrêt de la Chambre des curatelles du 30 août 2022 que la Justice de paix du district de l'Ouest lausannois a institué une mesure de curatelle de coopération en faveur du recourant. Dès lors que l'acte de recours porte sur des droits strictement personnels au sens de l' art. 19c al. 1 CC , la procédure initiée au fond par le recourant ayant trait à la levée de la curatelle (cf.</w:t>
      </w:r>
    </w:p>
    <w:p>
      <w:r>
        <w:t>supra let. A.b; arrêt 5A_194/2011 du 30 mai 2011 consid. 5.1), le présent recours n'avait pas à être ratifié par Me B.________, curateur du recourant (cf. dans l'hypothèse inverse (droits non strictement personnels) : arrêts 8C_583/2021 du 2 novembre 2021 et 4D_16/2020 du 17 mars 2020, tous deux concernant le recourant). Le recourant a partant qualité pour recourir en personne.</w:t>
      </w:r>
    </w:p>
    <w:p>
      <w:r>
        <w:rPr>
          <w:b/>
        </w:rPr>
        <w:t>E. 1.3</w:t>
      </w:r>
    </w:p>
    <w:p>
      <w:r>
        <w:t>Dans une procédure ouverte pour déni de justice et retard injustifié au sens de l' art. 94 LTF , lorsque le Tribunal fédéral admet le recours, il doit ordonner à l'autorité de rendre une décision mais ne doit pas statuer lui-même à la place de l'autorité qui est restée passive. Cela reviendrait à bouleverser l'ordre des instances et à violer les règles de la compétence fonctionnelle (arrêt 8C_697/2018 du 15 novembre 2018 consid. 2 et la référence). Partant, en tant qu'il demande au Tribunal fédéral d'annuler la mesure de curatelle ordonnée par la justice de paix et d'ordonner à l'Etat de Vaud de l'indemniser, les conclusions du recourant ne sont pas recevables.</w:t>
      </w:r>
    </w:p>
    <w:p>
      <w:r>
        <w:rPr>
          <w:b/>
        </w:rPr>
        <w:t>E. 1.4</w:t>
      </w:r>
    </w:p>
    <w:p>
      <w:r>
        <w:t>Le recourant ne paraît pas manifestement incapable de procéder au vu de ses écritures, si bien qu'il n'y a pas lieu de lui attribuer un défenseur au titre de l' art. 41 al. 1 LTF .</w:t>
      </w:r>
    </w:p>
    <w:p>
      <w:r>
        <w:rPr>
          <w:b/>
        </w:rPr>
        <w:t>E. 2</w:t>
      </w:r>
    </w:p>
    <w:p>
      <w:r>
        <w:t>Le recours de l' art. 94 LTF est soumis aux mêmes règles formelles que le recours en matière civile s'agissant plus particulièrement de la motivation du recours (cf. arrêt 1B_346/2021 du 12 juillet 2021 consid. 1.2.1 et les arrêts cités). Il incombe dès lors au recourant d'expliquer de manière claire et précise en quoi la décision ou l'inaction qu'il conteste pourrait être contraire au droit ou aux garanties constitutionnelles (cf. art. 42 al. 2 et 106 al. 2 LTF; arrêt 1B_346/2021 précité loc. cit.; voir également en matière de motivation: ATF 146 IV 88 consid. 1.3.2; 143 V 19 consid. 2.3; 142 III 364 consid. 2.4).</w:t>
      </w:r>
    </w:p>
    <w:p>
      <w:r>
        <w:rPr>
          <w:b/>
        </w:rPr>
        <w:t>E. 3.1</w:t>
      </w:r>
    </w:p>
    <w:p>
      <w:r>
        <w:t>Selon l' art. 94 LTF , le recours pour déni de justice et retard injustifié est recevable si, sans en avoir le droit, la juridiction saisie s'abstient de rendre une décision sujette à recours ou tarde à le faire.</w:t>
      </w:r>
    </w:p>
    <w:p>
      <w:r>
        <w:t>Dans le cadre d'un tel recours, la violation de l' art. 29 al. 1 Cst. peut être soulevée (arrêt 5D_75/2018 du 25 septembre 2018 consid. 1 et l'arrêt cité). En vertu de cette disposition,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130 I 312 consid. 5.1). Le caractère raisonnable du délai s'apprécie selon les circonstances particulières de la cause, eu égard notamment à la complexité de l'affaire, à l'enjeu du litige pour l'intéressé, à son comportement ainsi qu'à celui des autorités compétentes ( ATF 135 I 265 consid. 4.4). Peu importe les raisons du retard; un manque d'organisation ou une surcharge de travail n'empêchent pas de reprocher un retard injustifié. Le seul élément déterminant est que l'autorité n'agit pas dans les délais ( ATF 144 II 486 consid. 3.2; 135 I 265 consid. 4.4).</w:t>
      </w:r>
    </w:p>
    <w:p>
      <w:r>
        <w:rPr>
          <w:b/>
        </w:rPr>
        <w:t>E. 3.2</w:t>
      </w:r>
    </w:p>
    <w:p>
      <w:r>
        <w:t>L' art. 94 LTF suppose d'abord que l'autorité cantonale ait été saisie d'une requête, d'une demande ou d'un recours et qu'elle se soit abstenue de statuer, alors qu'elle y est en principe obligée. Cette disposition impose ensuite que la décision qui devrait être rendue soit une décision sujette à recours au Tribunal fédéral. Enfin, pour pouvoir se plaindre avec succès d'un retard injustifié, la partie doit en outre être vainement intervenue auprès de l'autorité pour que celle-ci statue à bref délai (arrêt 5A_825/2019 du 25 octobre 2019 consid. 2 et les références citées).</w:t>
      </w:r>
    </w:p>
    <w:p>
      <w:r>
        <w:rPr>
          <w:b/>
        </w:rPr>
        <w:t>E. 4.1</w:t>
      </w:r>
    </w:p>
    <w:p>
      <w:r>
        <w:t>Invoquant notamment l' art. 29 al. 1 Cst. , le recourant reproche en substance à la Chambre des curatelles d'avoir refusé de statuer sur le recours "pour la levée de la curatelle" qu'il aurait formé devant cette autorité le 8 août 2022. Il affirme que l'arrêt du 30 août 2022 ne concerne que son recours pour déni de justice interjeté le 4 juillet 2022, contrairement à ce que prétend la Chambre des curatelles dans son courrier du 14 septembre 2022.</w:t>
      </w:r>
    </w:p>
    <w:p>
      <w:r>
        <w:rPr>
          <w:b/>
        </w:rPr>
        <w:t>E. 4.2</w:t>
      </w:r>
    </w:p>
    <w:p>
      <w:r>
        <w:t>Force est de constater que le recourant n'a produit aucune copie de l'acte de recours qu'il soutient avoir formé le 8 août 2022 après s'être vu notifier la décision de la justice de paix du 6 avril 2022. A la place, il a fourni un numéro de "Track&amp;Trace" censé, selon le recourant, concerner ledit recours, ainsi qu'un "complément de recours rectifié" qui aurait été adressé le 23 août 2022 au Tribunal cantonal vaudois. Dans ces conditions, on ne saurait considérer que le recourant a démontré à satisfaction que la première condition d'application de l' art. 94 LTF est réalisée, à savoir que l'autorité concernée a été dûment et valablement saisie, à savoir en l'occurrence d'un recours. Aucune attestation du dépôt en mains du Tribunal cantonal vaudois du "complément de recours rectifié" n'a été produite. Ce dépôt aurait, quoi qu'il en soit, été tardif vu l'échéance du délai de recours contre la décision de la justice de paix du 6 avril 2022 notifiée le 8 juillet 2022. Quant au numéro de "Track&amp;Trace" fourni sans plus amples explications qu'une affirmation manuscrite péremptoire, il n'appartient pas au Tribunal fédéral d'aller vérifier à quoi il correspond.</w:t>
      </w:r>
    </w:p>
    <w:p>
      <w:r>
        <w:rPr>
          <w:b/>
        </w:rPr>
        <w:t>E. 5</w:t>
      </w:r>
    </w:p>
    <w:p>
      <w:r>
        <w:t>Il suit de là que le recours doit être rejeté dans la mesure de sa recevabilité. Comme le recours était dénué de chances de succès, la requête d'assistance judiciaire doit également être rejetée ( art. 64 al. 1 LTF ). Le recourant devra donc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