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5A_750/2019 vom 25. September 2019</w:t>
      </w:r>
    </w:p>
    <w:p>
      <w:r>
        <w:t>Bundesgericht, 2019-09-25, FR</w:t>
      </w:r>
    </w:p>
    <w:p>
      <w:r>
        <w:rPr>
          <w:b/>
        </w:rPr>
        <w:t xml:space="preserve">Quelle: </w:t>
      </w:r>
      <w:r>
        <w:t>https://mcp.opencaselaw.ch/entscheid/bger_5A_750_2019</w:t>
      </w:r>
    </w:p>
    <w:p>
      <w:r>
        <w:t>FR: TF 5A_750/2019 du 25 septembre 2019</w:t>
      </w:r>
    </w:p>
    <w:p>
      <w:r>
        <w:t>IT: TF 5A_750/2019 del 25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20 mai 2019 sur requête de B.________, la Présidente du Tribunal de La Côte a prononcé la faillite de la société A.________ SA, avec effet dès ce jour à 12h00.</w:t>
      </w:r>
    </w:p>
    <w:p>
      <w:r>
        <w:t>Par arrêt du 12 août 2019, la Cour des poursuites et faillites du Tribunal cantonal vaudois a confirmé ce jugement.</w:t>
      </w:r>
    </w:p>
    <w:p>
      <w:r>
        <w:rPr>
          <w:b/>
        </w:rPr>
        <w:t>E. 2</w:t>
      </w:r>
    </w:p>
    <w:p>
      <w:r>
        <w:t>Par écriture datée du 21 septembre 2019, la société en faillite exerce un recours à la "</w:t>
      </w:r>
    </w:p>
    <w:p>
      <w:r>
        <w:t>Cour de droit administratif " du Tribunal fédéral contre l'arrêt cantonal; elle conclut à l'annulation de la faillite.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 art. 72 al. 2 let. a LTF . Il n'y a pas lieu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précédente a retenu que le refus du premier juge de déplacer l'audience de faillite n'était pas critiquable, car la pièce produite à l'appui de cette demande ne se rapportait qu'à l'admission à l'hôpital de l'administrateur de la société pour y subir une intervention le 14 mai 2019 et ne contenait aucun élément indiquant que l'intéressé ne pouvait pas assister à l'audience du 20 mai 2019. La débitrice n'a du reste produit aucune autre pièce à la suite du courrier de la présidente du 2 mai 2019 refusant de déplacer l'audience. Enfin, elle ne s'est pas fait représenter à cette audience par un autre mandataire, comme elle en avait la possibilité.</w:t>
      </w:r>
    </w:p>
    <w:p>
      <w:r>
        <w:t>Sur le fond, les juges précédents ont rappelé que l'autorité supérieure ne peut annuler le jugement de faillite que si le débiteur justifie par titre que la dette a été intégralement payée ( art. 174 al. 2 ch. 1 LP ) et qu'il rend sa solvabilité vraisemblable ( art. 174 al. 2 LP ), ces deux conditions étant cumulatives. Or, en l'occurrence, la débitrice ne prétend pas ni, a fortiori, n'établit avoir acquitté la somme en poursuite dans le délai de recours; elle n'a pas davantage rendu vraisemblable sa solvabilité par la production de pièces idoines.</w:t>
      </w:r>
    </w:p>
    <w:p>
      <w:r>
        <w:rPr>
          <w:b/>
        </w:rPr>
        <w:t>E. 4.2</w:t>
      </w:r>
    </w:p>
    <w:p>
      <w:r>
        <w:t>S'agissant du refus de renvoyer l'audience de faillite, la recourante se retranche derrière le "</w:t>
      </w:r>
    </w:p>
    <w:p>
      <w:r>
        <w:t>secret médical " pour justifier l'imprécision du certificat médical produit à l'appui de sa demande, ce qui ne constitue pas une réfutation conforme aux exigences légales ( art. 42 al. 2 LTF ; ATF 140 III 86 consid. 2). Elle ne soutient pas non plus que les motifs de l'autorité cantonale quant au non-paiement de la dette à l'origine de la faillite dans le délai de recours seraient erronés ou reposeraient sur un établissement manifestement inexact - à savoir arbitraire ( ATF 145 V 188 consid. 2) - des faits ( art. 97 al. 1 LTF 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