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750/2010 vom 24. Januar 2011</w:t>
      </w:r>
    </w:p>
    <w:p>
      <w:r>
        <w:t>Bundesgericht, 2011-01-24, FR</w:t>
      </w:r>
    </w:p>
    <w:p>
      <w:r>
        <w:rPr>
          <w:b/>
        </w:rPr>
        <w:t xml:space="preserve">Quelle: </w:t>
      </w:r>
      <w:r>
        <w:t>https://mcp.opencaselaw.ch/entscheid/bger_5A_750_2010</w:t>
      </w:r>
    </w:p>
    <w:p>
      <w:r>
        <w:t>FR: TF 5A 750/2010 du 24 janvier 2011</w:t>
      </w:r>
    </w:p>
    <w:p>
      <w:r>
        <w:t>IT: TF 5A 750/2010 del 24 gennaio 2011</w:t>
      </w:r>
    </w:p>
    <w:p>
      <w:pPr>
        <w:pStyle w:val="Heading2"/>
      </w:pPr>
      <w:r>
        <w:t>Regeste</w:t>
      </w:r>
    </w:p>
    <w:p>
      <w:r>
        <w:t>mesures protectrices de l'union conjugale | Droit de la famille</w:t>
      </w:r>
    </w:p>
    <w:p>
      <w:pPr>
        <w:pStyle w:val="Heading2"/>
      </w:pPr>
      <w:r>
        <w:t>Erwägungen</w:t>
      </w:r>
    </w:p>
    <w:p>
      <w:r>
        <w:rPr>
          <w:b/>
        </w:rPr>
        <w:t>E. 1.1</w:t>
      </w:r>
    </w:p>
    <w:p>
      <w:r>
        <w:t>Le recours a été interjeté en temps utile ( art. 100 al. 1 LTF ) contre une décision finale ( art. 90 LTF ; ATF 133 III 393 consid. 4. p. 395/396) rendue en matière civile ( art. 72 al. 1 LTF ) par une autorité cantonale de dernière instance ( art. 75 al. 1 LTF ). Comme seule est en cause la contribution à l'entretien de l'épouse, on se trouve en présence d'une contestation de nature pécuniaire, dont la valeur litigieuse atteint 30'000 fr. (art. 51 al. 1 let. a et al. 4, 74 al. 1 let. b LTF). Le recours est dès lors recevable selon ces dispositions.</w:t>
      </w:r>
    </w:p>
    <w:p>
      <w:r>
        <w:rPr>
          <w:b/>
        </w:rPr>
        <w:t>E. 1.2</w:t>
      </w:r>
    </w:p>
    <w:p>
      <w:r>
        <w:t>La recourante a réduit ses conclusions devant le Tribunal fédéral, en ce sens qu'elle ne sollicite plus qu'une pension de 1'062 fr. au lieu des 1'450 fr. réclamés devant le juge cantonal. De telles conclusions, diminuées, ne se heurtent évidemment pas à l'interdiction des conclusions nouvelles instaurée par l' art. 99 al. 2 LTF (cf. Bernard Corboz, in Commentaire de la LTF, n. 36 ad art. 99).</w:t>
      </w:r>
    </w:p>
    <w:p>
      <w:r>
        <w:rPr>
          <w:b/>
        </w:rPr>
        <w:t>E. 1.3</w:t>
      </w:r>
    </w:p>
    <w:p>
      <w:r>
        <w:t>Dès lors qu'il s'agit d'une décision en matière de mesures provisionnelles ( ATF 133 III 393 consid. 5 p. 396/397, 585 consid. 3.3 p. 587 et la jurisprudence citée), le recours ne peut être formé que pour violation des droits constitutionnels ( art. 98 LTF ). Le Tribunal fédéral n'examine de tels griefs que s'ils ont été invoqués et motivés ( art. 106 al. 2 LTF ; sur les exigences de motivation de l'acte de recours: ATF 133 II 249 consid. 1.4.2 p. 254; 133 III 393 consid. 6 p. 397). Les critiques de nature appellatoire sont irrecevables ( ATF 133 II 396 consid. 3 p. 399/400).</w:t>
      </w:r>
    </w:p>
    <w:p>
      <w:r>
        <w:rPr>
          <w:b/>
        </w:rPr>
        <w:t>E. 1.4</w:t>
      </w:r>
    </w:p>
    <w:p>
      <w:r>
        <w:t>Le Tribunal fédéral statue sur la base des faits établis par l'autorité précédente ( art. 105 al. 1 LTF ). Dans l'hypothèse d'un recours soumis à l' art. 98 LTF , une rectification ou un complètement des constatations de fait n'entre en considération que si ladite autorité a violé des droits constitutionnels, les art. 95, 97 et 105 al. 2 LTF ne s'appliquant pas directement ( ATF 133 III 393 consid. 7.1 p. 398 et 585 consid. 4.1 p. 588).</w:t>
      </w:r>
    </w:p>
    <w:p>
      <w:r>
        <w:rPr>
          <w:b/>
        </w:rPr>
        <w:t>E. 2</w:t>
      </w:r>
    </w:p>
    <w:p>
      <w:r>
        <w:t>La recourante soutient que le jugement attaqué est arbitraire ( art. 9 Cst. ), car manifestement contraire à la jurisprudence clairement établie en matière de fixation de la contribution d'entretien pour le conjoint. Elle reproche à l'autorité cantonale d'avoir considéré qu'il ne pouvait lui être alloué plus que les 650 fr. réclamés en première instance, puisqu'elle a conclu, globalement, au paiement d'un montant de 2'050 fr. (650 fr. + 700 fr. + 700 fr.) pour l'entretien de la famille. Comme le juge de district a arrêté les contributions en faveur des enfants à 988 fr. au total (soit 486 fr. pour l'aîné et 502 fr. pour la cadette), le solde de 1'062 fr. (2'050 fr. - 988 fr.) pouvait, selon elle, lui être octroyé, dès lors qu'après paiement des pensions en faveur des enfants, l'intimé bénéficie d'un montant disponible de 1'072 fr. et qu'elle-même présente un découvert de 1'420 fr.</w:t>
      </w:r>
    </w:p>
    <w:p>
      <w:r>
        <w:rPr>
          <w:b/>
        </w:rPr>
        <w:t>E. 2.1</w:t>
      </w:r>
    </w:p>
    <w:p>
      <w:r>
        <w:t>Selon l' art. 176 CC , relatif à l'organisation de la vie séparée, à la requête d'un des conjoints, le juge fixe la contribution pécuniaire à verser par l'une des parties à l'autre (al. 1 ch. 1). Contrairement aux mesures concernant les enfants - qu'il ordonne d'après les dispositions sur les effets de la filiation ( art. 176 al. 3 CC en relation avec l' art. 276 al. 2 CC ), sans être lié par les conclusions des parties conformément à la maxime d'office (Offizialmaxime) -, il statue en la matière en étant limité par les conclusions des parties en vertu du principe de disposition (Dispositionsgrundsatz). Les contributions pécuniaires allouées à l'époux et à l'enfant - même mineur (cf. art. 289 al. 1 CC ) - constituent en effet des prétentions indépendantes qui ont chacune un sort juridique propre. Tel est aussi le cas en procédure de mesures protectrices de l'union conjugale, alors même que la prestation échoit au représentant de l'enfant et que celui-ci n'a pas qualité de partie; du reste, comme exposé plus haut, l' art. 176 CC distingue expressément les prestations dues au conjoint (al. 1 ch. 1) de celles dues aux enfants (al. 3). Comme l'action en entretien du conjoint n'est pas soumise à la maxime d'office, le juge est lié par les conclusions prises et ne peut accorder à une partie ni plus ni autre chose que ce qu'elle demande, ni moins que ce que son adversaire reconnaît ( ATF 129 III 417 consid. 2.1.1 p. 419/420 et les références). La recourante ne prétend pas que le droit cantonal prévoirait le contraire. La jurisprudence à laquelle elle se réfère ( ATF 128 III 411 ) ne lui est par ailleurs d'aucun secours. Cet arrêt - rendu dans le contexte d'une procédure de recours contre un jugement de divorce - rappelle certes que les contributions dues tant au conjoint qu'aux enfants forment, du point de vue de la capacité contributive du débiteur, un ensemble dont les éléments individuels ne peuvent être fixés de manière entièrement indépendante les uns des autres, de sorte que, lorsque le recours porte sur les deux types de contributions, mais aussi, en vertu de l' art. 148 al. 1 2 e phrase CC, lorsque la contribution du conjoint est seule litigieuse, les contributions en faveur des enfants et du conjoint doivent être calculées et fixées à nouveau ( ATF 128 III 411 consid. 3.2.2 p. 415 et l'arrêt cité). Le Tribunal fédéral a toutefois précisé ultérieurement qu'il ne se justifiait pas pour autant de faire une exception au principe selon lequel l'action d'un conjoint pour son entretien est soumise au principe de la maxime de disposition ( ATF 129 III 417 consid. 2.1.2 p. 420), principe qu'il mentionne d'ailleurs aussi dans l'arrêt précité paru aux ATF 128 III 411 (consid. 3.2.2 p. 415).</w:t>
      </w:r>
    </w:p>
    <w:p>
      <w:r>
        <w:rPr>
          <w:b/>
        </w:rPr>
        <w:t>E. 2.2</w:t>
      </w:r>
    </w:p>
    <w:p>
      <w:r>
        <w:t>En l'occurrence, l'autorité cantonale ne saurait dès lors se voir reprocher d'avoir fait preuve d'arbitraire en considérant que les conclusions de l'épouse concernant l'allocation d'une contribution d'entretien en sa faveur étaient irrecevables dans la mesure où elles excédaient celles prises en première instance.</w:t>
      </w:r>
    </w:p>
    <w:p>
      <w:r>
        <w:rPr>
          <w:b/>
        </w:rPr>
        <w:t>E. 3</w:t>
      </w:r>
    </w:p>
    <w:p>
      <w:r>
        <w:t>En conclusion, le recours se révèle mal fondé et ne peut dès lors qu'être rejeté. Vu l'issue - prévisible - de la procédure, la requête d'assistance judiciaire ne saurait être agréée ( art. 64 LTF ). Les frais judiciaires seront dès lors supportés par la recourante ( art. 66 al. 1 LTF ). Il n'y a en revanche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