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5A_749/2020 vom 25. September 2020</w:t>
      </w:r>
    </w:p>
    <w:p>
      <w:r>
        <w:t>Bundesgericht, 2020-09-25, FR</w:t>
      </w:r>
    </w:p>
    <w:p>
      <w:r>
        <w:rPr>
          <w:b/>
        </w:rPr>
        <w:t xml:space="preserve">Quelle: </w:t>
      </w:r>
      <w:r>
        <w:t>https://mcp.opencaselaw.ch/entscheid/bger_5A_749_2020</w:t>
      </w:r>
    </w:p>
    <w:p>
      <w:r>
        <w:t>FR: TF 5A_749/2020 du 25 septembre 2020</w:t>
      </w:r>
    </w:p>
    <w:p>
      <w:r>
        <w:t>IT: TF 5A_749/2020 del 25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Sur réquisition de B.________, l'Office des poursuites de Genève a notifié à A.________ un commandement de payer les sommes de 50'000 fr. et de 54'753 fr. 30, toutes deux avec intérêts à 8,850% dès le 1er août 2017; ces montants sont réclamés en vertu d'un contrat de prêt du 10 novembre 2016 (</w:t>
      </w:r>
    </w:p>
    <w:p>
      <w:r>
        <w:t>poursuite n° xxx ). Cet acte a été frappé d'opposition.</w:t>
      </w:r>
    </w:p>
    <w:p>
      <w:r>
        <w:t>Statuant le 23 avril 2020, le Tribunal de première instance de Genève a levé provisoirement l'opposition au commandement de payer, avec suite de frais et dépens à la charge du poursuivi.</w:t>
      </w:r>
    </w:p>
    <w:p>
      <w:r>
        <w:t>Par arrêt du 27 juillet 2020, la Chambre civile de la Cour de justice du canton de Genève a déclaré irrecevable le recours du poursuivi contre ce prononcé.</w:t>
      </w:r>
    </w:p>
    <w:p>
      <w:r>
        <w:rPr>
          <w:b/>
        </w:rPr>
        <w:t>E. 2</w:t>
      </w:r>
    </w:p>
    <w:p>
      <w:r>
        <w:t>Par écriture expédiée le 14 septembre 2020, le poursuivi déclare faire "</w:t>
      </w:r>
    </w:p>
    <w:p>
      <w:r>
        <w:t>appel " de l'arrêt de la Cour de justice.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</w:t>
      </w:r>
    </w:p>
    <w:p>
      <w:r>
        <w:rPr>
          <w:b/>
        </w:rPr>
        <w:t>E. 4.1</w:t>
      </w:r>
    </w:p>
    <w:p>
      <w:r>
        <w:t>En l'espèce, la juridiction précédente a constaté que le recours ne comportait pas de conclusions (au fond), ne critiquait pas le contenu du jugement attaqué et présentait des allégués nouveaux; il cumulait ainsi "</w:t>
      </w:r>
    </w:p>
    <w:p>
      <w:r>
        <w:t>trois manquements procéduraux " qui le rendaient irrecevable.</w:t>
      </w:r>
    </w:p>
    <w:p>
      <w:r>
        <w:t>Les magistrats précédents ont considéré que, supposé recevable, le recours eût de toute manière été rejeté: l'intéressé a été dûment cité par le tribunal et ne s'est pas rendu à l'audience du 6 mars 2020, sans invoquer d'impossibilité d'y comparaître; à défaut d'avis d'annulation de cette audience, il lui incombait de se présenter devant le tribunal,et non d'escompter une suite favorable à sa requête de report. Il n'y a dès lors aucune violation de son droit d'être entendu.</w:t>
      </w:r>
    </w:p>
    <w:p>
      <w:r>
        <w:rPr>
          <w:b/>
        </w:rPr>
        <w:t>E. 4.2</w:t>
      </w:r>
    </w:p>
    <w:p>
      <w:r>
        <w:t>Le recourant s'exprime sur les circonstances du "</w:t>
      </w:r>
    </w:p>
    <w:p>
      <w:r>
        <w:t>prêt ", mais il ne réfute pas les motifs - principal et subsidiaire - retenus par la juridiction précédente. Faute d'être motivé conformément à l' art. 42 al. 2 LTF , le recours doit dès lors être écarté d'emblée ( ATF 142 III 364 consid. 2.4</w:t>
      </w:r>
    </w:p>
    <w:p>
      <w:r>
        <w:t>in</w:t>
      </w:r>
    </w:p>
    <w:p>
      <w:r>
        <w:t>fine , avec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