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5A_749/2011 vom 22. November 2011</w:t>
      </w:r>
    </w:p>
    <w:p>
      <w:r>
        <w:t>Bundesgericht, 2011-11-22, DE</w:t>
      </w:r>
    </w:p>
    <w:p>
      <w:r>
        <w:rPr>
          <w:b/>
        </w:rPr>
        <w:t xml:space="preserve">Quelle: </w:t>
      </w:r>
      <w:r>
        <w:t>https://mcp.opencaselaw.ch/entscheid/bger_5A_749_2011</w:t>
      </w:r>
    </w:p>
    <w:p>
      <w:r>
        <w:t>FR: TF 5A_749/2011 du 22 novembre 2011</w:t>
      </w:r>
    </w:p>
    <w:p>
      <w:r>
        <w:t>IT: TF 5A_749/2011 del 22 novembre 2011</w:t>
      </w:r>
    </w:p>
    <w:p>
      <w:pPr>
        <w:pStyle w:val="Heading2"/>
      </w:pPr>
      <w:r>
        <w:t>Erwägungen</w:t>
      </w:r>
    </w:p>
    <w:p>
      <w:r>
        <w:rPr>
          <w:b/>
        </w:rPr>
        <w:t>E. 1.1</w:t>
      </w:r>
    </w:p>
    <w:p>
      <w:r>
        <w:t>Die Beschwerdeführerin ist aufgrund des Urteils des Verwaltungsgerichts aus der Klinik entlassen worden und verfügt damit über kein aktuelles schützenswertes Interesse an der Überprüfung der fürsorgerischen Freiheitsentziehung; sodann behauptet sie auch nicht, in ihrem Fall sei ein virtuelles Interesse gegeben. Entgegen der in BGE 136 III 497 wiedergegeben Praxis muss vorliegend dennoch auf die Beschwerde eingetreten werden: Obwohl die Entlassung der Beschwerdeführerin aus der Anstalt angeordnet worden ist, hat ihr das Verwaltungsgericht einen Teil der Gerichtskosten auferlegt und ihre Entschädigung für das verwaltungsgerichtliche Verfahren gekürzt. Mit Bezug auf diese beiden Punkte hat sie trotz erfolgter Entlassung ein aktuelles schützenswertes Interesse an der Behandlung der Beschwerde ( Art. 76 Abs. 1 lit. b BGG ). Insbesondere ist sie bezüglich der Parteientschädigung auch nicht auf den Weg der Verantwortlichkeitsklage nach Art. 429a ZGB zu verweisen, zumal das Verwaltungsgericht über den Anspruch auf Erstattung der Kosten der Verbeiständung entschieden hat. Gegenstand des Verfahrens bildet aber nicht die Rechtmässigkeit der fürsorgerischen Freiheitsentziehung, sondern ausschliesslich die Frage, ob die Auferlegung der Kosten und die Reduktion der Parteientschädigung angesichts der angeordneten Entlassung aus der Anstalt mit dem Bundesrecht zu vereinbaren sind.</w:t>
      </w:r>
    </w:p>
    <w:p>
      <w:r>
        <w:rPr>
          <w:b/>
        </w:rPr>
        <w:t>E. 1.2</w:t>
      </w:r>
    </w:p>
    <w:p>
      <w:r>
        <w:t>Angefochten ist ein letztinstanzlicher Endentscheid ( Art. 75 Abs. 1 und Art. 90 BGG ) betreffend fürsorgerische Freiheitsentziehung und damit ein öffentlich-rechtlicher Entscheid in engem Zusammenhang mit dem Zivilrecht, der grundsätzlich der Beschwerde in Zivilsachen unterliegt (Art. 72 Abs. 2 lit. b Ziff. 6 BGG). Die beanstandeten Regelungen der Gerichts- und Parteikosten sind Teil des Endentscheides in der Sache und können somit ungeachtet ihres Streitwertes mit dem gleichen Rechtsmittel wie der Sachentscheid angefochten werden ( BGE 137 III 47 ).</w:t>
      </w:r>
    </w:p>
    <w:p>
      <w:r>
        <w:rPr>
          <w:b/>
        </w:rPr>
        <w:t>E. 1.3</w:t>
      </w:r>
    </w:p>
    <w:p>
      <w:r>
        <w:t>Die Beschwerdeführerin verlangt die Aufhebung der Dispositiv-Ziffer bezüglich der Gerichtskosten und will damit im Ergebnis, dass ihr keine Kosten überbunden werden. Insoweit liegt ein klarer materieller Antrag vor. Ferner stellt sie das Begehren, sie sei "ausgangsgemäss" nach Aufwand zu entschädigen. Mit diesem Rechtsbegehren lässt sie unbeachtet, dass ein Antrag auf Geldleistung grundsätzlich zu beziffern ist ( BGE 134 III 235 E. 2 S. 236 f.). Nach der Begründung der Beschwerde, die für die Auslegung der Begehren beizuziehen ist ( BGE 136 V 131 E. 1.2 S. 136), fordert die Beschwerdeführerin unter dem Titel "Entschädigung" Fr. 3'201.--. Auch insoweit kann auf die Beschwerde eingetreten werden.</w:t>
      </w:r>
    </w:p>
    <w:p>
      <w:r>
        <w:rPr>
          <w:b/>
        </w:rPr>
        <w:t>E. 1.4</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Die Begründung muss in der Beschwerdeschrift selbst enthalten sein; auf blosse Verweise auf andere Rechtsschriften ist nicht einzutreten ( BGE 116 II 92 E. 2 S. 93 f.; BGE 126 III 198 E. 1d S. 201; 131 III 384 E. 2.3 S. 387 f.; zur Weitergeltung dieser Rechtsprechung für die Beschwerde in Zivilsachen vgl. Urteile 4A_115/2007, E. 2.1; 4A_137/2007, E. 4). Verfassungsverletzungen werden nur geprüft, wenn sie gerügt und gehörig begründet werden ( Art. 106 Abs. 2 BGG ; BGE 133 IV 286 E. 1.4 S. 287; BGE 134 I 83 E. 3.2. S. 88 mit Hinweisen).</w:t>
      </w:r>
    </w:p>
    <w:p>
      <w:r>
        <w:t>Die Ausführungen der Beschwerdeführerin vermögen diesen Anforderungen über weite Strecken nicht zu genügen. Die Beschwerde erweist sich insbesondere als unzulässig, soweit einfach eine Verletzung von Art. 29 Abs. 1 BV behauptet wird, ohne im Einzelnen darzutun, inwiefern diese Bestimmung verletzt worden sein soll. Darauf ist nicht einzutreten.</w:t>
      </w:r>
    </w:p>
    <w:p>
      <w:r>
        <w:rPr>
          <w:b/>
        </w:rPr>
        <w:t>E. 2.1</w:t>
      </w:r>
    </w:p>
    <w:p>
      <w:r>
        <w:t>Nach § 67o des aargauischen Einführungsgesetzes zum Schweizerischen Zivilgesetzbuch und Partnerschaftsgesetz [EG ZGB] ist das Verwaltungsgericht für die gerichtliche Beurteilung einer fürsorgerischen Freiheitsentziehung ( Art. 397d ZGB ) zuständig. Soweit nicht das Bundesrecht ( Art. 397e und 397f ZGB ) oder das kantonale Einführungsgesetz zum ZGB das Verfahren regelt, gelten die Vorschriften des Gesetzes über die Verwaltungsrechtspflege (VRPG; § 67q EGZGB/AG). § 31 Abs. 2 VRPG entsprechend werden die Verfahrenskosten im Beschwerdeverfahren in der Regel nach Massgabe des Unterliegens und Obsiegens auf die Parteien verlegt. Die gleiche Regel stellt § 32 Abs. 2 VRPG für die Parteikosten auf.</w:t>
      </w:r>
    </w:p>
    <w:p>
      <w:r>
        <w:rPr>
          <w:b/>
        </w:rPr>
        <w:t>E. 2.2</w:t>
      </w:r>
    </w:p>
    <w:p>
      <w:r>
        <w:t>Das Verwaltungsgericht hat im Rahmen seiner Zuständigkeit aufgrund des Begehrens der Beschwerdeführerin um sofortige Entlassung in einem ersten Schritt geprüft, ob die Anordnung der fürsorgerischen Freiheitsentziehung durch den Amtsarzt am 19. Juli 2011 mit Art. 397a Abs. 1 ZGB zu vereinbaren sei. Es hat im Wesentlichen erwogen, bei der Beschwerdeführerin liege nach wie vor eine Geisteskrankheit im Sinn von Art. 397a Abs. 1 ZGB vor, zumal sie seit Jahren unverändert an einer schizoaffektiven Störung leide. Aufgrund der in den Akten enthaltenen Feststellungen ist das Verwaltungsgericht schliesslich zum Schluss gelangt, die amtsärztliche Einweisung sei im Interesse der Beschwerdeführerin erfolgt und somit verhältnismässig. Im Weiteren hat das Verwaltungsgericht aufgrund der erstellten Aktenlage ausgeführt, spätestens zum Zeitpunkt, als die Klinik die Aushändigung des Freiwilligenscheines erwogen habe (welche es der Beschwerdeführerin ermöglicht, sich ohne Begleitung an die Verhandlung über die gerichtliche Beurteilung der fürsorgerischen Freiheitsentziehung zu begeben), seien die Voraussetzungen für eine fürsorgerische Freiheitsentziehung nicht mehr erfüllt gewesen, weshalb diese ungefähr ab dem 5. August 2011 hätte aufgehoben werden müssen. In seinem Urteil vom 9. August 2011 ordnete das Verwaltungsgericht schliesslich die Entlassung der Beschwerdeführerin an. Mit Bezug auf die Kosten- und Entschädigung betrachtete es sie als lediglich teilweise obsiegend und auferlegte ihr dementsprechend die Hälfte der Gerichtskosten.</w:t>
      </w:r>
    </w:p>
    <w:p>
      <w:r>
        <w:rPr>
          <w:b/>
        </w:rPr>
        <w:t>E. 2.3.1</w:t>
      </w:r>
    </w:p>
    <w:p>
      <w:r>
        <w:t>Die Beschwerdeführerin rügt mit Bezug auf die Gerichtskosten eine willkürliche Anwendung von Art. 31 Abs. 2 VRPG und macht zur Begründung im Wesentlichen geltend, sie sei im Verfahren gemäss Art. 397d ZGB mit ihrem Antrag auf Entlassung durchgedrungen. Das Verwaltungsgericht verfalle daher in Willkür, indem es sie als lediglich teilweise obsiegend betrachte, ihr folglich die Hälfte der Gerichtskosten auferlege. Zudem verletze sie Art. 6 EMRK , indem sie nicht vom Sachverhalt ausgehe, wie er zum Zeitpunkt des Urteils bestanden habe.</w:t>
      </w:r>
    </w:p>
    <w:p>
      <w:r>
        <w:rPr>
          <w:b/>
        </w:rPr>
        <w:t>E. 2.3.2</w:t>
      </w:r>
    </w:p>
    <w:p>
      <w:r>
        <w:t>Entgegen der Behauptung der Beschwerdeführerin ist die Vorinstanz sehr wohl vom Sachverhalt ausgegangen, wie er zum Zeitpunkt des Urteils bestanden hat. Die von der Beschwerdeführerin aufgeworfene Frage betrifft denn auch gar nicht eine Verletzung von Art. 6 EMRK , sondern ausschliesslich die willkürliche Anwendung kantonalen Rechts (Art. 31 Abs. 2 VRPG).</w:t>
      </w:r>
    </w:p>
    <w:p>
      <w:r>
        <w:t>In diesem Zusammenhang darf nicht übersehen werden, dass die Beschwerdeführerin am 19. Juli 2011 vom Amtsarzt in Anwendung von Art. 397a Abs. 1 ZGB in die psychiatrische Klinik eingewiesen worden ist und am 29. Juli 2011 beim Verwaltungsgericht um sofortige Entlassung aus der fürsorgerischen Freiheitsentziehung ersucht hat. Aufgrund dieser Sachlage hatte das Verwaltungsgericht als zuständige Instanz im Sinne von Art. 397d ZGB in erster Linie zu prüfen, ob die Einweisung der Beschwerdeführerin mit Art. 397a Abs. 1 ZGB zu vereinbaren war, was es im betreffenden Verfahren denn auch getan hat. Als Ergebnis dieser Überprüfung hat es die Rechtmässigkeit der Einweisung bejaht. Da die betroffene Person aus der Anstalt entlassen werden muss, sobald es ihr Zustand erlaubt ( Art. 397a Abs. 3 ZGB ), hat das Verwaltungsgericht in einem weiteren Schritt festgehalten, dass die Zurückbehaltung der Beschwerdeführerin auch nach der Einweisung, und zwar bis zum 5. August 2011, im Lichte von Art. 397a Abs. 1 ZGB gerechtfertigt war. Die durch das Verwaltungsgericht getroffenen tatsächlichen Feststellungen und seine rechtlichen Schlussfolgerungen werden hier - wie bereits erwähnt (E. 1.1) - nicht überprüft. Im Lichte der tatsächlichen Feststellungen des Verwaltungsgerichts und seiner rechtlichen Würdigung der Sachlage ist die Kostenregelung im Ergebnis und in der Begründung mit Art. 9 BV vereinbar.</w:t>
      </w:r>
    </w:p>
    <w:p>
      <w:r>
        <w:rPr>
          <w:b/>
        </w:rPr>
        <w:t>E. 2.4</w:t>
      </w:r>
    </w:p>
    <w:p>
      <w:r>
        <w:t>Die Beschwerdeführerin macht ferner geltend, die Regelung der Parteikosten sei angesichts der angeordneten Entlassung nicht mit Art. 5 Ziff. 5 EMRK zu vereinbaren.</w:t>
      </w:r>
    </w:p>
    <w:p>
      <w:r>
        <w:rPr>
          <w:b/>
        </w:rPr>
        <w:t>E. 2.4.1</w:t>
      </w:r>
    </w:p>
    <w:p>
      <w:r>
        <w:t>Nach Art. 5 Ziffer 1 EMRK darf die Freiheit nur in den und lit. a bis f aufgezählten Fällen und nur auf die gesetzlich vorgeschriebene Weise entzogen werden. Litera e erwähnt den rechtmässigen Entzug bei psychisch Kranken, welcher im Landesrecht in Art. 397a ZGB geregelt ist. Nach Art. 5 Ziff. 5 EMRK hat jede Person, die unter Verletzung dieses Artikels ( Art. 5 EMRK ) von Freiheitsentziehung betroffen ist, Anspruch auf Schadensersatz. Im konkreten Fall ist somit Schadensersatz zuzusprechen, wenn eine Verletzung von Art. 397a Abs. 1 ZGB bejaht werden muss. Über die Kosten, welche der betroffenen Person zum Zwecke der Wahrung ihrer durch die Konvention gewährten Rechte entstanden sind, entscheidet die zuständige Instanz nach billigem Ermessen (vgl. dazu: FROWEIN/PEUKERT, Europäische Menschenrechtskonvention, EMRK-Kommentar, 3. Aufl. 2009, S. 587 N. 85 zu Art. 41 EMRK ).</w:t>
      </w:r>
    </w:p>
    <w:p>
      <w:r>
        <w:rPr>
          <w:b/>
        </w:rPr>
        <w:t>E. 2.4.2</w:t>
      </w:r>
    </w:p>
    <w:p>
      <w:r>
        <w:t>Im vorliegenden Fall gilt es zu berücksichtigen, dass die Beschwerdeführerin wie in E. 2.3 hiervor dargelegt, Art. 397a Abs. 1 ZGB entsprechend in die Klinik eingewiesen worden ist. Ferner hat sich auch ihre Zurückbehaltung in der Anstalt bis zum 5. August 2011 im Lichte der genannten Bestimmung als rechtmässig erwiesen. Lag somit nur über einen sehr kurzen Zeitraum (vom 5. August bis 9. August 2011) betrachtet eine unrechtmässige Freiheitsentziehung vor, erscheint die vom Verwaltungsgericht vorgenommene Kürzung der Parteientschädigung um die Hälfte als angemessen. Eine Verletzung von Art. 5 Ziff. 5 EMRK ist nicht ersichtlich.</w:t>
      </w:r>
    </w:p>
    <w:p>
      <w:r>
        <w:rPr>
          <w:b/>
        </w:rPr>
        <w:t>E. 3.1</w:t>
      </w:r>
    </w:p>
    <w:p>
      <w:r>
        <w:t>Das Verwaltungsgericht hat gestützt auf § 3 Abs. 1 lit. b Anwaltstarif eine Grundentschädigung festgesetzt, welche die Instruktion, das Aktenstudium, rechtliche Abklärungen, Korrespondenz und Telefongespräche sowie eine Rechtsschrift und die Teilnahme an der Verhandlung abdeckt (§ 6 Abs. 1 Anwaltstarif). Unter Berücksichtigung aller Faktoren hat es die Grundentschädigung schliesslich auf Fr. 2'300.-- festgesetzt. Nach Einbezug eines angemessenen Beitrages für die von Rechtsanwalt Y.________ verfasste "Rechtsschrift", der Mehrwertsteuer und der auf Fr. 117.-- bezifferten Auslagen hat sich ein Gesamtbetrag der Entschädigung von Fr. 2'542.-- ergeben. Das Verwaltungsgericht ist ferner auf den Einwand der Beschwerdeführerin eingegangen, wonach die Parteien einen Stundenansatz von Fr. 280.-- vereinbart hätten, und hat dazu bemerkt, das Honorar des Anwalts für seine Tätigkeit richte sich grundsätzlich nach der zwischen Anwalt und Klient auf Grundlage der Privatautonomie getroffenen Honorarvereinbarung. Für die von den Gerichten festzusetzende Parteientschädigung gelte indes die kantonale Tarifordnung; das Gericht sei an die zwischen Anwalt und Klient geschlossene Vereinbarung nicht gebunden.</w:t>
      </w:r>
    </w:p>
    <w:p>
      <w:r>
        <w:rPr>
          <w:b/>
        </w:rPr>
        <w:t>E. 3.2</w:t>
      </w:r>
    </w:p>
    <w:p>
      <w:r>
        <w:t>Die Beschwerdeführerin will den vom Anwalt geltend gemachten Betrag von Fr. 3'201.-- berücksichtigt wissen und behauptet, die Kostenliste sei anerkannt. Entsprechendes lässt sich indes dem angefochtenen Urteil gerade nicht entnehmen. Die Beschwerdeführerin setzt sich im Übrigen mit den Erwägungen des angefochtenen Entscheids nicht auseinander. Was die Höhe der Entschädigung anbelangt, ist auf die Beschwerde nicht einzutreten (E. 1.4).</w:t>
      </w:r>
    </w:p>
    <w:p>
      <w:r>
        <w:rPr>
          <w:b/>
        </w:rPr>
        <w:t>E. 4</w:t>
      </w:r>
    </w:p>
    <w:p>
      <w:r>
        <w:t>Damit ist die Beschwerde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