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5A_748/2023 vom 5. Oktober 2023</w:t>
      </w:r>
    </w:p>
    <w:p>
      <w:r>
        <w:t>Bundesgericht, 2023-10-05, DE</w:t>
      </w:r>
    </w:p>
    <w:p>
      <w:r>
        <w:rPr>
          <w:b/>
        </w:rPr>
        <w:t xml:space="preserve">Quelle: </w:t>
      </w:r>
      <w:r>
        <w:t>https://mcp.opencaselaw.ch/entscheid/bger_5A_748_2023</w:t>
      </w:r>
    </w:p>
    <w:p>
      <w:r>
        <w:t>FR: TF 5A_748/2023 du 5 octobre 2023</w:t>
      </w:r>
    </w:p>
    <w:p>
      <w:r>
        <w:t>IT: TF 5A_748/2023 del 5 ottobre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Neue Tatsachen und Beweismittel dürfen nur vorgebracht werden, soweit erst der angefochtene Entscheid dazu Anlass gegeben hat ( Art. 99 Abs. 1 BGG ).</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macht geltend, er müsse nur "soweit möglich" Belege einreichen. Steuerunterlagen für die Jahre 2021 und 2022 seien jedoch keine vorhanden. Im Übrigen würden dem Obergericht bereits alle benötigten Unterlagen vorliegen, weshalb er auch nur Ausführungen zu den Einnahmen gemacht habe.</w:t>
      </w:r>
    </w:p>
    <w:p>
      <w:r>
        <w:rPr>
          <w:b/>
        </w:rPr>
        <w:t>E. 3</w:t>
      </w:r>
    </w:p>
    <w:p>
      <w:r>
        <w:t>Der Beschwerdeführer beschränkt sich mit appellatorischen Ausführungen, d.h. ohne Willkürrügen zu erheben, auf die neue und im Übrigen aktenwidrige Tatsachenbehauptung, dem Obergericht seien für das im Rahmen des Berufungsverfahrens gestellte Gesuch um unentgeltliche Rechtspflege alle nötigen Unterlagen beigebracht worden. Damit legt er nicht ansatzweise dar, inwiefern er im obergerichtlichen Verfahren mit belegten Vorbringen seine angebliche Prozessarmut glaubhaft gemacht hätte. Nur der Vollständigkeit halber sei festgehalten, dass aus einem - bezüglich Unterhalt für ein Kind aus einer anderen Beziehung - hängigen obergerichtlichen Verfahren (dazu Urteil 5A_743/2023 vom 3. Oktober 2023) bekannt ist, dass der Beschwerdeführer auch über eine Liegenschaft verfügt, ohne dass er jedoch in jenem Verfahren die Vermögensverhältnisse näher dargestellt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