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5A_747/2024 vom 6. November 2024</w:t>
      </w:r>
    </w:p>
    <w:p>
      <w:r>
        <w:t>Bundesgericht, 2024-11-06, DE</w:t>
      </w:r>
    </w:p>
    <w:p>
      <w:r>
        <w:rPr>
          <w:b/>
        </w:rPr>
        <w:t xml:space="preserve">Quelle: </w:t>
      </w:r>
      <w:r>
        <w:t>https://mcp.opencaselaw.ch/entscheid/bger_5A_747_2024</w:t>
      </w:r>
    </w:p>
    <w:p>
      <w:r>
        <w:t>FR: TF 5A_747/2024 du 6 novembre 2024</w:t>
      </w:r>
    </w:p>
    <w:p>
      <w:r>
        <w:t>IT: TF 5A_747/2024 del 6 novembre 2024</w:t>
      </w:r>
    </w:p>
    <w:p>
      <w:pPr>
        <w:pStyle w:val="Heading2"/>
      </w:pPr>
      <w:r>
        <w:t>Erwägungen</w:t>
      </w:r>
    </w:p>
    <w:p>
      <w:r>
        <w:rPr>
          <w:b/>
        </w:rPr>
        <w:t>E. 1</w:t>
      </w:r>
    </w:p>
    <w:p>
      <w:r>
        <w:t>Am 15. Januar 2024 (Eingangsdatum) reichte der Beschwerdeführer beim Bezirksgericht Winterthur ein Schreiben mit dem Titel "Unentdecktes Vermögen Art. 115 Abs. 3 SchKG , im Nachlass" ein. Das Bezirksgericht nahm das Schreiben als betreibungsrechtliche Beschwerde entgegen. Das Bezirksgericht setzte dem Beschwerdeführer Frist an, um die angefochtene Verfügung einzureichen und darzulegen, weshalb sie Recht verletze oder unangemessen sei. Am 20. Februar 2024 (Eingangsdatum) reichte der Beschwerdeführer ein als "Beschwerde zur verfügten Pfändung bezüglich unentdeckter Vermögen" bezeichnetes Schreiben und eine einzelne Seite einer nicht näher bestimmbaren Pfändungsurkunde ein. Mit Beschluss vom 28. Mai 2024 trat das Bezirksgericht auf die Beschwerde nicht ein.</w:t>
      </w:r>
    </w:p>
    <w:p>
      <w:r>
        <w:t>Dagegen erhob der Beschwerdeführer mit Eingabe vom 17. Juni 2024 Beschwerde beim Obergericht des Kantons Zürich. Weitere Eingaben folgten. Mit Beschluss vom 21. Oktober 2024 trat das Obergericht auf die Beschwerde mangels genügenden Antrags und mangels hinreichender Begründung nicht ein.</w:t>
      </w:r>
    </w:p>
    <w:p>
      <w:r>
        <w:t>Dagegen hat der Beschwerdeführer am 1. November 2024 (Postaufgabe) Beschwerde in Zivilsachen oder subsidiäre Verfassungsbeschwerde an das Bundesgericht erhoben.</w:t>
      </w:r>
    </w:p>
    <w:p>
      <w:r>
        <w:rPr>
          <w:b/>
        </w:rPr>
        <w:t>E. 2</w:t>
      </w:r>
    </w:p>
    <w:p>
      <w:r>
        <w:t>Gegen den angefochtenen Beschluss steht die Beschwerde in Zivilsachen zu Verfügung ( Art. 72 Abs. 2 lit. a, Art. 74 Abs. 2 lit. c BGG ). Die subsidiäre Verfassungsbeschwerde ist unzulässig ( Art. 113 BGG ).</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mit den Erwägungen des Obergerichts nicht auseinander, sondern äussert sich in schwer verständlicher Weise zur Bewertung von Grundstücken und zu Grundstückgewinnsteuern und er verlangt, öffentlich-rechtliche Eigentumsbeschränkungen mit Tilgung der Grundstückgewinnsteuern zu bereinigen.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 Wie die vorstehenden Erwägungen zeigen, war die Beschwerde von vornherein aussichtslos. Das Gesuch des Beschwerdeführers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