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5A_747/2013 vom 30. Januar 2014</w:t>
      </w:r>
    </w:p>
    <w:p>
      <w:r>
        <w:t>Bundesgericht, 2014-01-30, DE</w:t>
      </w:r>
    </w:p>
    <w:p>
      <w:r>
        <w:rPr>
          <w:b/>
        </w:rPr>
        <w:t xml:space="preserve">Quelle: </w:t>
      </w:r>
      <w:r>
        <w:t>https://mcp.opencaselaw.ch/entscheid/bger_5A_747_2013</w:t>
      </w:r>
    </w:p>
    <w:p>
      <w:r>
        <w:t>FR: TF 5A_747/2013 du 30 janvier 2014</w:t>
      </w:r>
    </w:p>
    <w:p>
      <w:r>
        <w:t>IT: TF 5A_747/2013 del 30 gennaio 2014</w:t>
      </w:r>
    </w:p>
    <w:p>
      <w:pPr>
        <w:pStyle w:val="Heading2"/>
      </w:pPr>
      <w:r>
        <w:t>Erwägungen</w:t>
      </w:r>
    </w:p>
    <w:p>
      <w:r>
        <w:rPr>
          <w:b/>
        </w:rPr>
        <w:t>E. 1</w:t>
      </w:r>
    </w:p>
    <w:p>
      <w:r>
        <w:t>Das Bundesgericht prüft von Amtes wegen und mit freier Kognition, ob ein Rechtsmittel zulässig ist ( BGE 137 III 417 E. 1).</w:t>
      </w:r>
    </w:p>
    <w:p>
      <w:r>
        <w:rPr>
          <w:b/>
        </w:rPr>
        <w:t>E. 1.1</w:t>
      </w:r>
    </w:p>
    <w:p>
      <w:r>
        <w:t>Mit dem angefochtenen Entscheid hat das Obergericht eine Beschwerde betreffend die Gewährung der definitiven Rechtsöffnung gutgeheissen und die Sache an die Erstinstanz zurückgewiesen. Zwar geht es in der Hauptsache um eine Angelegenheit aus dem Zwangsvollstreckungsrecht ( Art. 72 Abs. 2 lit. a, Art. 75 Abs. 1 und Art. 90 BGG ; BGE 134 III 141 E. 2 S. 143) und die Streitwertgrenze von Fr. 30'000.-- wird erreicht ( Art. 74 Abs. 1 lit. b BGG ; BGE 133 III 399 E. 1.3), womit die Beschwerde in Zivilsachen grundsätzlich zur Verfügung steht. Indes handelt es sich beim vorinstanzlichen Entscheid um einen Rückweisungsentscheid, mithin einen Zwischenentscheid, der nur dann beim Bundesgericht anfechtbar ist, wenn er einen nicht wieder gutzumachenden Nachteil bewirken kann ( Art. 93 Abs. 1 lit. a BGG ). Ein solcher ist insbesondere gegeben, wenn damit materiell-rechtliche Anordnungen an die nunmehr zuständige Instanz verbunden sind ( BGE 139 V 99 E. 1.4 S. 133; 134 III 136 E. 1.2 S. 138). Dies ist vorliegend nicht der Fall. Zudem richtet sich die Beschwerde im konkreten Fall einzig gegen die Abweisung des Antrags auf eine Parteientschädigung für das kantonale Rechtsmittelverfahren. Nicht angefochten ist hingegen die Rückweisung an die Erstinstanz als solche. Die in einem solchen Zwischenentscheid enthaltene Kosten- und Entschädigungsregelung ist als Nebenpunkt nicht selbständig anfechtbar ( BGE 138 III 94 E. 2.3 S. 95 f.; 135 III 329 E. 1.2 S. 331; Urteil 5A_780/2011 vom 23. Februar 2012 E. 2). Sie kann nur im Rahmen einer Beschwerde gegen den Zwischenentscheid als solche überprüft werden, sofern die diesbezüglichen Voraussetzungen gegeben sind.</w:t>
      </w:r>
    </w:p>
    <w:p>
      <w:r>
        <w:rPr>
          <w:b/>
        </w:rPr>
        <w:t>E. 1.2</w:t>
      </w:r>
    </w:p>
    <w:p>
      <w:r>
        <w:t>Auf die einzig gegen die Nichtzusprechung einer Parteientschädigung im Rahmen eines Zwischenentscheides erhobene Beschwerde kann daher nicht eingetreten werden.</w:t>
      </w:r>
    </w:p>
    <w:p>
      <w:r>
        <w:rPr>
          <w:b/>
        </w:rPr>
        <w:t>E. 2</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