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747/2011 vom 3. Januar 2012</w:t>
      </w:r>
    </w:p>
    <w:p>
      <w:r>
        <w:t>Bundesgericht, 2012-01-03, DE</w:t>
      </w:r>
    </w:p>
    <w:p>
      <w:r>
        <w:rPr>
          <w:b/>
        </w:rPr>
        <w:t xml:space="preserve">Quelle: </w:t>
      </w:r>
      <w:r>
        <w:t>https://mcp.opencaselaw.ch/entscheid/bger_5A_747_2011</w:t>
      </w:r>
    </w:p>
    <w:p>
      <w:r>
        <w:t>FR: TF 5A 747/2011 du 3 janvier 2012</w:t>
      </w:r>
    </w:p>
    <w:p>
      <w:r>
        <w:t>IT: TF 5A 747/2011 del 3 gennaio 2012</w:t>
      </w:r>
    </w:p>
    <w:p>
      <w:pPr>
        <w:pStyle w:val="Heading2"/>
      </w:pPr>
      <w:r>
        <w:t>Regeste</w:t>
      </w:r>
    </w:p>
    <w:p>
      <w:r>
        <w:t>Eheschutz | Familienrecht</w:t>
      </w:r>
    </w:p>
    <w:p>
      <w:pPr>
        <w:pStyle w:val="Heading2"/>
      </w:pPr>
      <w:r>
        <w:t>Erwägungen</w:t>
      </w:r>
    </w:p>
    <w:p>
      <w:r>
        <w:rPr>
          <w:b/>
        </w:rPr>
        <w:t>E. 1</w:t>
      </w:r>
    </w:p>
    <w:p>
      <w:r>
        <w:t>Angefochten ist ein kantonal letztinstanzlicher ( Art. 75 Abs. 1 BGG ), ausschliesslich finanzielle Aspekte der Trennung regelnder Eheschutzentscheid. Mithin handelt es sich um einen Endentscheid ( Art. 90 BGG ) in einer vermögensrechtlichen Zivilsache ( Art. 72 Abs. 1 BGG ). Der gemäss Art. 74 Abs. 1 lit. b BGG erforderliche Streitwert übersteigt Fr. 30'000.--. Damit sind die Voraussetzungen für die Beschwerde in Zivilsachen erfüllt.</w:t>
      </w:r>
    </w:p>
    <w:p>
      <w:r>
        <w:rPr>
          <w:b/>
        </w:rPr>
        <w:t>E. 2</w:t>
      </w:r>
    </w:p>
    <w:p>
      <w:r>
        <w:t>Eheschutzentscheide sind Entscheide über vorsorgliche Massnahmen ( BGE 133 III 393 E. 5 S. 396 f.). Nach Art. 98 BGG kann demnach nur die Verletzung verfassungsmässiger Rechte gerügt werden. Zur Anwendung gelangt das strenge Rügeprinzip ( Art. 106 Abs. 2 BGG ). Dabei ist präzise und anhand der Erwägungen des angefochtenen Entscheides darzulegen, inwiefern verfassungsmässige Rechte verletzt worden sein sollen. Auf rein appellatorische Kritik am angefochtenen Entscheid tritt das Bundesgericht nicht ein ( BGE 133 II 396 E. 3.1 S. 399 f.; 133 III 589 E. 2 S. 591 f.). Wird eine Verletzung des Willkürverbots geltend gemacht, muss im Einzelnen aufgezeigt werden, in welcher Hinsicht der Entscheid an einem qualifizierten und offensichtlichen Mangel leidet. Es reicht nicht aus, die Sach- oder Rechtslage aus Sicht des Beschwerdeführers darzulegen und den davon abweichenden angefochtenen Entscheid als willkürlich zu bezeichnen ( BGE 130 I 258 E. 1.3 S. 261 f.; 134 II 244 E. 2.2 S. 246).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w:t>
      </w:r>
    </w:p>
    <w:p>
      <w:r>
        <w:rPr>
          <w:b/>
        </w:rPr>
        <w:t>E. 3</w:t>
      </w:r>
    </w:p>
    <w:p>
      <w:r>
        <w:t>Die Vorinstanz ist auf zahlreiche Anträge des Beschwerdeführers nicht eingetreten, da diese nicht in den Anwendungsbereich des Eheschutzverfahrens fallen (vgl. E. 4.1 des vorinstanzlichen Entscheids). Soweit der Beschwerdeführer derartige Anträge vor Bundesgericht wiederholt, ohne aber gleichzeitig darzutun, weshalb die Vorinstanz den sachlichen Anwendungsbereich des Eheschutzverfahrens willkürlich verkannt haben soll, ist darauf nicht einzutreten.</w:t>
      </w:r>
    </w:p>
    <w:p>
      <w:r>
        <w:rPr>
          <w:b/>
        </w:rPr>
        <w:t>E. 4</w:t>
      </w:r>
    </w:p>
    <w:p>
      <w:r>
        <w:t>Der vorinstanzlich festgestellte Sachverhalt ist für das Bundesgericht grundsätzlich verbindlich ( Art. 105 Abs. 1 BGG ). Es ist nicht Aufgabe des Bundesgerichts, Beweise abzunehmen und Tatsachen festzustellen, über die sich das kantonale Sachgericht nicht ausgesprochen hat ( BGE 136 III 209 E. 6.1 S. 214). Neue Beweismittel dürfen vor Bundesgericht einzig soweit vorgebracht werden, als erst der Entscheid der Vorinstanz dazu Anlass gibt ( Art. 99 Abs. 1 BGG ). In der Beschwerde ist darzulegen, inwiefern diese Voraussetzungen für die Abnahme neuer Beweismittel erfüllt sind ( BGE 133 III 393 E. 3 S. 395; 134 V 223 E. 2.2.1 S. 226 f.). Echte Noven, d.h. Tatsachen, die sich erst nach dem Zeitpunkt zugetragen haben, nachdem vor der Vorinstanz keine neuen Tatsachen (mehr) vorgetragen werden durften, sind vor Bundesgericht - jedenfalls soweit sie den angefochtenen Entscheid in der Sache betreffen - unbeachtlich ( BGE 133 IV 342 E. 2.1 S. 344 ; 135 I 221 E. 5.2.4 S. 229). Soweit der Beschwerdeführer im bundesgerichtlichen Verfahren neue Behauptungen aufgestellt bzw. Beweismittel eingereicht hat bzw. deren Abnahme beantragt, ist darauf nicht einzutreten.</w:t>
      </w:r>
    </w:p>
    <w:p>
      <w:r>
        <w:rPr>
          <w:b/>
        </w:rPr>
        <w:t>E. 5</w:t>
      </w:r>
    </w:p>
    <w:p>
      <w:r>
        <w:t>Der Beschwerdeführer macht eingangs seiner Beschwerdeschrift unter anderem geltend: "Ich vertrete mich in dieser Sache selbst, da ich mir keinen Anwalt leisten kann und obwohl ich Rechtslaie bin. Ich hoffe, dies ist auf dieser Stufe akzeptabel. Als Direktbetroffener scheine ich dazu legitimiert. Das Recht auf Bundesverfassungs-Ebene ist verständlich. Detailgesetze, Anwendungs-Usanzen, übliche Formvorgehen und frühere Rechtsentscheide sind mir vermutlich fremd. Gesetzes-Verweise oder gar Verweise auf andere Rechtsfälle sind mir wahrscheinlich nicht oder nur eingeschränkt möglich. Ich basiere auf normalem Rechtsempfinden, was richtig ist und was falsch." Mit diesem einleitenden Hinweis wie auch mit den nachfolgenden rund 51 Anträgen inklusive Begründung verkennt der Beschwerdeführer das bundesgerichtliche Beschwerdeverfahren im Allgemeinen sowie das gemäss Art. 98 BGG anwendbare Verfahren im Besonderen. Im Rahmen von Art. 98 BGG tritt das Bundesgericht auf eine Rüge nur ein, wenn der Beschwerdeführer unter präziser Bezugnahme auf die konkret kritisierten Erwägungen des vorinstanzlichen Entscheids ein verfassungsmässiges Recht als verletzt rügt (s. oben E. 2). Der Beschwerdeführer nimmt nicht präzis auf die vorinstanzlichen Erwägungen Bezug, weicht in weiten Strecken vom vorinstanzlich festgestellten Sachverhalt ab und erhebt keine den Anforderungen von Art. 106 Abs. 2 BGG genügende Verfassungsrüge. Dass er pauschal Bestimmungen der Bundesverfassung zitiert oder einfach von Willkür spricht, ändert daran nichts (vgl. dazu Urteil 4A_682/2010 vom 17. Februar 2011 E. 5). Die Ausführungen des Beschwerdeführers erschöpfen sich in rein appellatorischen Kritik am angefochtenen Entscheid. Darauf ist nicht einzutreten.</w:t>
      </w:r>
    </w:p>
    <w:p>
      <w:r>
        <w:rPr>
          <w:b/>
        </w:rPr>
        <w:t>E. 6</w:t>
      </w:r>
    </w:p>
    <w:p>
      <w:r>
        <w:t>Bei diesem Verfahrensausgang wird der Beschwerdeführer kostenpflichtig ( Art. 66 Abs. 1 BGG ). Da die Beschwerde innert der gesetzlichen und damit nicht erstreckbaren Frist von 30 Tagen einzureichen ist (vgl. Art. 47 Abs. 1 i.V.m. Art. 100 Abs. 1 BGG ) und in der Folge nicht mehr ergänzt werden kann (im Falle einer Laienbeschwerde auch nicht von einem Rechtsanwalt), ist einzig auf die vorliegende Eingabe abzustellen; eine nachträgliche Verbesserung durch einen unentgeltlichen Rechtsvertreter - wie es der Beschwerdeführer beantragt - ist daher nicht zulässig. Wie den vorstehenden Ausführungen entnommen werden kann, konnte der Beschwerde von Beginn weg kein Erfolg beschieden sein, weshalb es an einer materiellen Voraussetzung für die Gewährung der unentgeltlichen Rechtspflege mangelt ( Art. 64 Abs. 1 BGG ) und das Gesuch entsprechend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