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5A_746/2023 vom 5. Oktober 2023</w:t>
      </w:r>
    </w:p>
    <w:p>
      <w:r>
        <w:t>Bundesgericht, 2023-10-05, DE</w:t>
      </w:r>
    </w:p>
    <w:p>
      <w:r>
        <w:rPr>
          <w:b/>
        </w:rPr>
        <w:t xml:space="preserve">Quelle: </w:t>
      </w:r>
      <w:r>
        <w:t>https://mcp.opencaselaw.ch/entscheid/bger_5A_746_2023</w:t>
      </w:r>
    </w:p>
    <w:p>
      <w:r>
        <w:t>FR: TF 5A_746/2023 du 5 octobre 2023</w:t>
      </w:r>
    </w:p>
    <w:p>
      <w:r>
        <w:t>IT: TF 5A_746/2023 del 5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des Beschwerdeführers nicht eingetreten. Anfechtungsgegenstand ist deshalb grundsätzlich nur die Frage, ob sie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Das Obergericht hat seinen Nichteintretensentscheid damit begründet, dass die Beschwerde überhaupt keine Begründung enthalte und damit selbst den für eine Laieneingabe geltenden reduzierten Begründungsanforderungen nicht genüge.</w:t>
      </w:r>
    </w:p>
    <w:p>
      <w:r>
        <w:t>Mit diesen Erwägungen setzt sich der Beschwerdeführer nicht ansatzweise auseinander, wenn er einzig festhält, die Aufsichtsbehörde verweigere ihm eine Beschwerde.</w:t>
      </w:r>
    </w:p>
    <w:p>
      <w:r>
        <w:t>Nicht nachvollziehbar ist sodann das Anliegen, wegen eines hängigen Strafverfahrens in Solothurn sei das Verfahren gegen den Gläubiger zu sisiteren.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