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5A_746/2017 vom 2. Oktober 2017</w:t>
      </w:r>
    </w:p>
    <w:p>
      <w:r>
        <w:t>Bundesgericht, 2017-10-02, DE</w:t>
      </w:r>
    </w:p>
    <w:p>
      <w:r>
        <w:rPr>
          <w:b/>
        </w:rPr>
        <w:t xml:space="preserve">Quelle: </w:t>
      </w:r>
      <w:r>
        <w:t>https://mcp.opencaselaw.ch/entscheid/bger_5A_746_2017</w:t>
      </w:r>
    </w:p>
    <w:p>
      <w:r>
        <w:t>FR: TF 5A_746/2017 du 2 octobre 2017</w:t>
      </w:r>
    </w:p>
    <w:p>
      <w:r>
        <w:t>IT: TF 5A_746/2017 del 2 ottobre 2017</w:t>
      </w:r>
    </w:p>
    <w:p>
      <w:pPr>
        <w:pStyle w:val="Heading2"/>
      </w:pPr>
      <w:r>
        <w:t>Erwägungen</w:t>
      </w:r>
    </w:p>
    <w:p>
      <w:r>
        <w:rPr>
          <w:b/>
        </w:rPr>
        <w:t>E. 1</w:t>
      </w:r>
    </w:p>
    <w:p>
      <w:r>
        <w:t>Angefochten ist der kantonal letztinstanzliche Entscheid betreffend fürsorgerische Unterbringung; die Beschwerde in Zivilsachen steht offen (Art. 72 Abs. 2 lit. b Ziff. 6, Art. 75 Abs. 1 und Art. 90 BGG ).</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In Bezug auf den Sachverhalt ist das Bundesgericht an die Feststellungen im angefochtenen Urteil gebunden ( Art. 105 Abs. 1 BGG ); sie können einzig mit Willkürrügen angefochten werden, für welche das strenge Rügeprinzip gilt und appellatorische Ausführungen unzulässig sind ( Art. 97 Abs. 1 und Art. 106 Abs. 2 BGG ; BGE 140 III 264 E. 2.3 S. 266).</w:t>
      </w:r>
    </w:p>
    <w:p>
      <w:r>
        <w:t>Die Beschwerde enthält kein Rechtsbegehren, aber aus dem Kontext ist klar, was der Beschwerdeführer anstrebt. Er stellt mit appellatorischen Ausführungen den festgestellten Sachverhalt in Frage (die 120 Bierdosen seien leer gewesen; der Schlafplatz sei nicht verkotet gewesen; es stinke nicht und habe auch nicht Erbrochenes gehabt; von einem verwahrlosten Zustand zu sprechen, sei masslos übertrieben), was nach dem Gesagten nicht zu hören ist. Im Übrigen erfolgt keine Auseinandersetzung mit den Erwägungen des angefochtenen Entscheides. In diesem wird der Schwächezustand (Einweisung wegen schizoaffektiver Störung mit aktuell schizomanischer Episode und Alkoholabhängigkeit; Zurückbehaltung wegen bipolarer affektiver Störung mit psychotischen Symptomen und extrem ausgeprägter Verwahrlosung) sowie das selbst- und fremdgefährdende Verhalten, die augenscheinliche Erforderlichkeit der stationären Unterbringung und die Eignung der Klinik unter Bezugnahme auf das erstellte Gutachten ausführlich behandelt. Es ist nicht ersichtlich, inwiefern der angefochtenen Entscheid gegen Recht verstossen könnte.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