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5A_745/2023 vom 5. Oktober 2023</w:t>
      </w:r>
    </w:p>
    <w:p>
      <w:r>
        <w:t>Bundesgericht, 2023-10-05, IT</w:t>
      </w:r>
    </w:p>
    <w:p>
      <w:r>
        <w:rPr>
          <w:b/>
        </w:rPr>
        <w:t xml:space="preserve">Quelle: </w:t>
      </w:r>
      <w:r>
        <w:t>https://mcp.opencaselaw.ch/entscheid/bger_5A_745_2023</w:t>
      </w:r>
    </w:p>
    <w:p>
      <w:r>
        <w:t>FR: TF 5A_745/2023 du 5 octobre 2023</w:t>
      </w:r>
    </w:p>
    <w:p>
      <w:r>
        <w:t>IT: TF 5A_745/2023 del 5 ottobre 2023</w:t>
      </w:r>
    </w:p>
    <w:p>
      <w:pPr>
        <w:pStyle w:val="Heading2"/>
      </w:pPr>
      <w:r>
        <w:t>Erwägungen</w:t>
      </w:r>
    </w:p>
    <w:p>
      <w:r>
        <w:rPr>
          <w:b/>
        </w:rPr>
        <w:t>E. 1</w:t>
      </w:r>
    </w:p>
    <w:p>
      <w:r>
        <w:t>Nel quadro di una procedura di reclamo introdotta da A.________ avverso una decisione 6 settembre 2023 dell'Autorità regionale di protezione 5 sede di Massagno in materia di protezione della figlia B.________, con decreto 25 settembre 2023 il Presidente della Camera di protezione del Tribunale d'appello del Cantone Ticino ha invitato A.________ a versare un anticipo di fr. 300.-- entro l'11 ottobre 2023 in garanzia delle spese processuali presumibili.</w:t>
      </w:r>
    </w:p>
    <w:p>
      <w:r>
        <w:rPr>
          <w:b/>
        </w:rPr>
        <w:t>E. 2</w:t>
      </w:r>
    </w:p>
    <w:p>
      <w:r>
        <w:t>Con due scritti (" opposizione " e " memoriale ") 29 settembre 2023 A.________ ha impugnato il predetto decreto dinanzi al Tribunale federale.</w:t>
      </w:r>
    </w:p>
    <w:p>
      <w:r>
        <w:t>Non sono state chieste determinazioni.</w:t>
      </w:r>
    </w:p>
    <w:p>
      <w:r>
        <w:rPr>
          <w:b/>
        </w:rPr>
        <w:t>E. 3</w:t>
      </w:r>
    </w:p>
    <w:p>
      <w:r>
        <w:t>La decisione con cui viene chiesto un anticipo a copertura delle spese processuali presumibili costituisce una decisione incidentale, che può essere immediatamente impugnata al Tribunale federale soltanto se può causare un pregiudizio irreparabile di natura giuridica ai sensi dell' art. 93 cpv. 1 lett. a LTF ( DTF 142 III 798 consid. 2.1 e 2.2), ossia un pregiudizio che non può essere eliminato (completamente) con una successiva decisione finale favorevole al ricorrente ( DTF 148 IV 155 consid. 1.1). In materia di anticipo spese un tale pregiudizio di natura giuridica sussiste unicamente se la parte non dispone della somma che deve versare e non adempie le condizioni per ottenere l'assistenza giudiziaria; spetta al ricorrente dimostrare la sua incapacità finanziaria ( DTF 142 III 798 consid. 2.3).</w:t>
      </w:r>
    </w:p>
    <w:p>
      <w:r>
        <w:t>Nel caso concreto la ricorrente si limita ad allegare al suo rimedio, senza ulteriori chiarimenti, due certificati per l'ammissione all'assistenza giudiziaria del 23 febbraio 2023 e del 1° marzo 2023. Ciò non basta a dimostrare che ella non sia in grado di versare l'anticipo richiesto. Il requisito previsto dall' art. 93 cpv. 1 lett. a LTF per un ricorso immediato al Tribunale federale non è quindi adempiuto e il rimedio si rivela inammissibile.</w:t>
      </w:r>
    </w:p>
    <w:p>
      <w:r>
        <w:rPr>
          <w:b/>
        </w:rPr>
        <w:t>E. 4</w:t>
      </w:r>
    </w:p>
    <w:p>
      <w:r>
        <w:t>Il rimedio è in ogni modo anche carente di motivazione. 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t>La ricorrente si confronta con il decreto qui discusso soltanto nella sua " opposizione " (nel suo " memoriale ", essa si limita invece a inammissibilmente esprimersi nel merito della vertenza, chiedendo il rientro immediato della figlia in Svizzera presso il suo domicilio). Ella afferma che tale decreto "è priv[o] di oggetto non essendo esposta nessuna giustificazione nella richiesta e viola il diritto (art. 89 diritto pubblico su la legge federale, art. 2 cpv. 1, art. 6, art. 7, 8, 10, 12, 30 diritti umani, art. 49 legge federale) ". Tale generica censura manifestamente non soddisfa i requisiti di motivazione degli art. 42 cpv. 2 e 106 cpv. 2 LTF.</w:t>
      </w:r>
    </w:p>
    <w:p>
      <w:r>
        <w:rPr>
          <w:b/>
        </w:rPr>
        <w:t>E. 5</w:t>
      </w:r>
    </w:p>
    <w:p>
      <w:r>
        <w:t>In tali circostanze il ricorso, manifestamente inammissibile e manifestamente non motivato in modo sufficiente, può essere deciso nella procedura semplificata dell'art. 108 cpv. 1 lett. a/b LTF.</w:t>
      </w:r>
    </w:p>
    <w:p>
      <w:r>
        <w:t>La (implicita) domanda di assistenza giudiziaria va respinta, indipendentemente dalla pretesa indigenza, per mancanza di possibilità di esito favorevole del ricorso ( art. 64 cpv. 1 e 3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