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745/2019 vom 2. April 2020</w:t>
      </w:r>
    </w:p>
    <w:p>
      <w:r>
        <w:t>Bundesgericht, 2020-04-02, FR</w:t>
      </w:r>
    </w:p>
    <w:p>
      <w:r>
        <w:rPr>
          <w:b/>
        </w:rPr>
        <w:t xml:space="preserve">Quelle: </w:t>
      </w:r>
      <w:r>
        <w:t>https://mcp.opencaselaw.ch/entscheid/bger_5A_745_2019</w:t>
      </w:r>
    </w:p>
    <w:p>
      <w:r>
        <w:t>FR: TF 5A 745/2019 du 2 avril 2020</w:t>
      </w:r>
    </w:p>
    <w:p>
      <w:r>
        <w:t>IT: TF 5A 745/2019 del 2 aprile 2020</w:t>
      </w:r>
    </w:p>
    <w:p>
      <w:pPr>
        <w:pStyle w:val="Heading2"/>
      </w:pPr>
      <w:r>
        <w:t>Regeste</w:t>
      </w:r>
    </w:p>
    <w:p>
      <w:r>
        <w:t>divorce (entretien post-divorce)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qui a succombé devant la juridiction précédente, a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2.2.2</w:t>
      </w:r>
    </w:p>
    <w:p>
      <w:r>
        <w:t>Sous l'intitulé " En fait " de son mémoire, la recourante renvoie à l'état de fait qu'elle avait développé à l'appui de ses mémoires d'appel du 19 novembre 2018 et de réplique du 13 mars 2019. Cela étant, outre le fait qu'il n'est pas admissible de renvoyer à une écriture antérieure ( ATF 144 V 173 consid. 3.2.2; 140 III 115 consid. 2), aucune des conditions de l' art. 97 al. 1 LTF ne fait l'objet d'une motivation. En tant que l'état de fait présenté par la recourante s'écarte des constatations retenues dans l'arrêt attaqué, il n'y a dès lors pas lieu d'en tenir compte.</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2.3.2</w:t>
      </w:r>
    </w:p>
    <w:p>
      <w:r>
        <w:t>La recourante conclut à pouvoir prouver par toutes voies de droit les faits allégués dans son recours, sans expliciter plus avant les faits et moyens nouveaux exceptionnellement admissibles ainsi que les motifs justifiant cette exception. Son chef de conclusion est ainsi d'emblée irrecevable (cf. arrêts 5A_6/2019 du 3 juillet 2019 consid. 2.3; 5A_584/2018 du 10 octobre 2018 consid. 2.4).</w:t>
      </w:r>
    </w:p>
    <w:p>
      <w:r>
        <w:rPr>
          <w:b/>
        </w:rPr>
        <w:t>E. 3</w:t>
      </w:r>
    </w:p>
    <w:p>
      <w:r>
        <w:t>La recourante reproche à la cour cantonale de lui avoir imputé un revenu hypothétique.</w:t>
      </w:r>
    </w:p>
    <w:p>
      <w:r>
        <w:rPr>
          <w:b/>
        </w:rPr>
        <w:t>E. 3.1</w:t>
      </w:r>
    </w:p>
    <w:p>
      <w:r>
        <w:t>Dans l'arrêt entrepris, les juges cantonaux ont constaté que le revenu de l'épouse était insuffisant pour couvrir ses charges mensuelles, arrêtées à 3'169 fr., et ont relevé que celle-ci n'avait pas allégué ni démontré qu'elle aurait essayé, sans succès, d'augmenter son taux d'activité auprès de son employeur actuel. Cela étant, compte tenu de son âge, de son expérience professionnelle et de son état de santé, il pouvait raisonnablement être exigé d'elle qu'elle mette à profit sa pleine capacité de travail, afin d'être en mesure de faire face à ses propres charges. L'intéressée, qui travaillait à 75 % comme agente d'entretien pour un salaire d'environ 2'600 fr., devait ainsi se voir imputer un revenu hypothétique de 3'500 fr., correspondant à un salaire à temps plein.</w:t>
      </w:r>
    </w:p>
    <w:p>
      <w:r>
        <w:rPr>
          <w:b/>
        </w:rPr>
        <w:t>E. 3.2.1</w:t>
      </w:r>
    </w:p>
    <w:p>
      <w:r>
        <w:t>Conformément au principe de l'autonomie des époux, qui se déduit de l' art. 125 CC , le conjoint demandeur ne peut prétendre à une pension que s'il n'est pas en mesure de pourvoir lui-même à son entretien convenable et si son conjoint dispose d'une capacité contributive ( ATF 137 III 102 consid. 4.1.2; 134 III 145 consid. 4; arrêt 5A_968/2017 du 25 septembre 2018 consid. 4.1).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5A_101/2018 du 9 août 2018 consid. 3.3). Le juge doit alors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Le juge peut ainsi s'écarter de cette limite d'âge en fonction d'autres éléments qui plaideraient en faveur de la prise ou de l'augmentation d'une activité lucrative ( ATF 137 III 102 consid. 4.2.2.2). S'agissant de l'augmentation d'une activité lucrative déjà exercée, le Tribunal fédéral a ainsi jugé que l'on peut exiger d'une épouse de 54 ans, qui a été active durant toute la durée du mariage et s'est formée de manière continue dans son métier, d'augmenter son activité lucrative (arrêt 5A_206/2010 du 21 juin 2010 consid. 5.3); il a également considéré qu'on pouvait attendre d'un enseignant de 57 ans de reprendre son activité après une interruption de deux ans, tant qu'il ne rencontrait aucun problème de santé (arrêt 5A_750/2011 du 5 décembre 2011 consid. 5).</w:t>
      </w:r>
    </w:p>
    <w:p>
      <w:r>
        <w:rPr>
          <w:b/>
        </w:rPr>
        <w:t>E. 3.2.2</w:t>
      </w:r>
    </w:p>
    <w:p>
      <w:r>
        <w:t>La détermination de la contribution d'entretien relève du pouvoir d'appréciation du juge du fait, qui applique les règles du droit et de l'équité ( art. 4 CC ; ATF 134 III 577 consid. 4; arrêt 5A_968/2017 du 25 septembre 2018 consid. 4.1).</w:t>
      </w:r>
    </w:p>
    <w:p>
      <w:r>
        <w:rPr>
          <w:b/>
        </w:rPr>
        <w:t>E. 3.3.1</w:t>
      </w:r>
    </w:p>
    <w:p>
      <w:r>
        <w:t>La recourante fait en substance grief aux juges cantonaux de ne pas avoir tenu compte des " difficultés évidentes que doit affronter une femme de 57 ans " sur le marché du travail et fait par ailleurs valoir que sa formation et son état de santé l'empêcheraient d'augmenter son taux d'activité professionnelle. Une telle argumentation, exposée de manière purement abstraite, ne permet toutefois pas de démontrer en quoi la cour cantonale aurait en l'occurrence violé le droit fédéral. S'agissant de son état de santé, la recourante ne peut au demeurant pas valablement soutenir qu'il s'opposerait à l'augmentation de son taux d'activité, dans la mesure où elle ne s'en prend pas à la constatation des juges cantonaux selon laquelle elle n'a allégué aucun problème médical particulier. La motivation du recours est dès lors insuffisante sous l'angle de l' art. 42 al. 2 LTF (cf. supra consid. 2.1). Quoi qu'il en soit, il n'apparaît pas que l'autorité cantonale ait outrepassé son pouvoir d'appréciation. La recourante, actuellement âgée de 55 ans - et non de 57 ans comme elle l'affirme dans son recours -, s'est en effet séparée en 2015, alors qu'elle était âgée de 51 ans et qu'elle était déjà active de longue date sur le marché du travail. Par ailleurs, elle travaille depuis plusieurs années dans le domaine du nettoyage et n'a fourni aucun élément permettant d'attester d'une santé déficiente. Compte tenu du fait que la recourante était déjà active sur le marché du travail, la cour cantonale ne s'est ainsi pas méprise en considérant que l'on pouvait raisonnablement attendre d'elle qu'elle augmente son taux d'activité dans le secteur de l'entretien (cf. arrêt 5A_206/2010 du 21 juin 2010 consid. 5.3). Le grief, pour autant que recevable, est par conséquent infondé.</w:t>
      </w:r>
    </w:p>
    <w:p>
      <w:r>
        <w:rPr>
          <w:b/>
        </w:rPr>
        <w:t>E. 3.3.2</w:t>
      </w:r>
    </w:p>
    <w:p>
      <w:r>
        <w:t>La recourante argue en outre qu'il serait disproportionné d'exiger d'elle qu'elle étende son taux d'activité, dans la mesure où son époux bénéficie d'un solde disponible confortable. Sur ce point également, la motivation est déficiente, la recourante n'expliquant pas plus avant pour quels motifs la situation financière de l'intimé, quelle qu'elle soit, lui permettrait de s'abstenir de réaliser un revenu permettant de subvenir à son propre entretien après le divorce. Ce grief est ainsi également infondé, dans la mesure de sa recevabilité.</w:t>
      </w:r>
    </w:p>
    <w:p>
      <w:r>
        <w:rPr>
          <w:b/>
        </w:rPr>
        <w:t>E. 4</w:t>
      </w:r>
    </w:p>
    <w:p>
      <w:r>
        <w:t>La recourante invoque une violation de l' art. 8 CC et reproche à l'autorité précédente de ne pas avoir admis que l'intimé vivait en concubinage.</w:t>
      </w:r>
    </w:p>
    <w:p>
      <w:r>
        <w:rPr>
          <w:b/>
        </w:rPr>
        <w:t>E. 4.1</w:t>
      </w:r>
    </w:p>
    <w:p>
      <w:r>
        <w:t>Dans l'arrêt entrepris, les juges cantonaux ont relevé que l'épouse s'était bornée à alléguer que son époux ne vivait pas seul et que " son minimum vital ainsi que ses frais de loyer " semblaient manifestement erronés. Ils ont retenu que l'intéressée n'avait formulé aucun grief motivé concernant les charges en question et qu'aucun élément du dossier ne permettait de retenir que l'époux vivait en concubinage. Ils ont par ailleurs considéré que la décision du premier juge de ne pas octroyer de contribution post-divorce à l'ex-épouse n'était pas critiquable, dès lors que celle-ci était capable de pourvoir elle-même à son entretien convenable.</w:t>
      </w:r>
    </w:p>
    <w:p>
      <w:r>
        <w:rPr>
          <w:b/>
        </w:rPr>
        <w:t>E. 4.2</w:t>
      </w:r>
    </w:p>
    <w:p>
      <w:r>
        <w:t>A supposer que le concubinage de l'intimé soit admis, il aurait pour conséquence de diminuer les charges de celui-ci et, partant, d'augmenter son solde disponible. Or, il apparaît que même en retenant un solde disponible d'environ 650 fr. pour l'intimé, la cour cantonale n'a pas fait droit à la contribution mensuelle de 500 fr. au versement de laquelle la recourante prétendait, au motif qu'elle était capable de pourvoir elle-même à son entretien. Celle-ci n'explique pas en quoi, dans de telles circonstances, une augmentation du solde disponible de l'intimé pourrait avoir une quelconque influence sur le versement d'une contribution d'entretien en sa faveur, étant par ailleurs précisé qu'elle dispose elle-même d'un solde disponible d'environ 300 francs. Partant, son grief, pour autant que recevable, tombe à faux.</w:t>
      </w:r>
    </w:p>
    <w:p>
      <w:r>
        <w:rPr>
          <w:b/>
        </w:rPr>
        <w:t>E. 5</w:t>
      </w:r>
    </w:p>
    <w:p>
      <w:r>
        <w:t>En conclusion, le recours doit être rejeté, dans la mesure de sa recevabilité. Les conclusions de la recourante étant d'emblée vouées à l'échec, la requête d'assistance judiciaire ne saurait être agréée ( art. 64 LTF ). L'intéressée supportera dès lors les frais de la procédure ( art. 66 al. 1 LTF ). Il n'y a pas lieu d'octroyer de dépens à l'intimé, qui n'a pas été invité à présenter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