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5A_745/2010 vom 15. Dezember 2010</w:t>
      </w:r>
    </w:p>
    <w:p>
      <w:r>
        <w:t>Bundesgericht, 2010-12-15, FR</w:t>
      </w:r>
    </w:p>
    <w:p>
      <w:r>
        <w:rPr>
          <w:b/>
        </w:rPr>
        <w:t xml:space="preserve">Quelle: </w:t>
      </w:r>
      <w:r>
        <w:t>https://mcp.opencaselaw.ch/entscheid/bger_5A_745_2010</w:t>
      </w:r>
    </w:p>
    <w:p>
      <w:r>
        <w:t>FR: TF 5A_745/2010 du 15 décembre 2010</w:t>
      </w:r>
    </w:p>
    <w:p>
      <w:r>
        <w:t>IT: TF 5A_745/2010 del 15 dicembre 2010</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2</w:t>
      </w:r>
    </w:p>
    <w:p>
      <w:r>
        <w:t>Saisi d'un recours en matière civile, le Tribunal fédéral statue sur la base des faits établis par l'autorité précédente ( art. 105 al. 1 LTF ). Il ne peut s'en écarter que si ces faits ont été établis de façon manifestement inexacte - ce qui correspond à la notion d'arbitraire ( ATF 135 III 127 consid. 1.5, 397 consid. 1.5; 135 II 145 consid. 8.1) - ou en violation du droit au sens de l' art. 95 LTF ( art. 105 al. 2 LTF ), et si la correction du vice est susceptible d'influer sur le sort de la cause ( art. 97 al. 1 LTF ).</w:t>
      </w:r>
    </w:p>
    <w:p>
      <w:r>
        <w:t>La recourante reproche à la commission cantonale de surveillance d'avoir constaté de manière manifestement inexacte que le poursuivi n'a pas sa résidence permanente en Suisse, puisqu'il ressortirait du dossier qu'il a au contraire une telle résidence à l'adresse indiquée en tête du présent arrêt. Encore faut-il qu'il s'agisse là d'un fait pertinent dont la rectification soit susceptible d'influer sur le sort de la cause. La recourante l'invoque en relation avec l'application de l'art. 38 par. 1 de la Convention de Vienne sur les relations diplomatiques. Une telle application n'étant pas envisageable dans le cas particulier, ainsi qu'il sera exposé ci-après (consid. 4), le grief de constatation manifestement inexacte doit être rejeté.</w:t>
      </w:r>
    </w:p>
    <w:p>
      <w:r>
        <w:rPr>
          <w:b/>
        </w:rPr>
        <w:t>E. 3</w:t>
      </w:r>
    </w:p>
    <w:p>
      <w:r>
        <w:t>Aux termes de l' art. 30a LP , les traités internationaux et les dispositions de la LDIP sont réservés. Ainsi en va-t-il, notamment, de l'Accord conclu le 11 mars 1946 entre le Conseil fédéral suisse et l'Organisation Internationale du Travail pour régler le statut juridique de cette organisation en Suisse (RS 0.192.120.282; ci-après: accord de siège OIT) et de la Convention de Vienne sur les relations diplomatiques (RS 0.191.01; ci-après: CVRD).</w:t>
      </w:r>
    </w:p>
    <w:p>
      <w:r>
        <w:t>Selon l'accord de siège OIT, les fonctionnaires des catégories désignées par le Directeur du Bureau International du Travail et agréées par le Conseil fédéral suisse jouissent des privilèges, immunités, exemptions et facilités reconnus aux agents diplomatiques conformément au droit des gens et aux usages internationaux (art. 16). Le Directeur du Bureau International du Travail a toutefois le droit et le devoir de lever l'immunité d'un fonctionnaire lorsqu'il estime que cette immunité empêche le jeu normal de la justice et qu'il est possible d'y renoncer sans porter atteinte aux intérêts de l'Organisation Internationale du Travail (art. 21 par. 2).</w:t>
      </w:r>
    </w:p>
    <w:p>
      <w:r>
        <w:t>Il est constant que l'intimé est un haut fonctionnaire auprès du Bureau International du Travail, agréé par le Conseil fédéral et jouissant sans restriction, d'après la carte de légitimation de type C qui lui a été délivrée par la Confédération suisse, du statut diplomatique. En qualité d'agent diplomatique, il bénéficie des prérogatives les plus étendues prévues aux art. 29 à 36 CVRD, en particulier de l'immunité de juridiction civile et administrative (art. 31 par. 1 CVRD; Etienne Bourgnon, Organisations internationales, FJS n° 1011a, ch.I/B, II/1/B). Aucune mesure d'exécution, fondée notamment sur la loi sur la poursuite pour dettes et la faillite, ne peut par conséquent être prise à son égard (art. 31 par. 3 CVRD; cf. arrêt B.94/1990 du 20 juillet 1990, publié in SJ 1990 628, consid. 2; P.-R. Gilliéron, Commentaire de la loi fédérale sur la poursuite pour dettes et la faillite, n. 25, 28 et 30 ad art. 30a LP ).</w:t>
      </w:r>
    </w:p>
    <w:p>
      <w:r>
        <w:t>L'art. 31 par. 1 CVRD prévoit cependant trois situations dans lesquelles l'agent diplomatique ne jouit pas de l'immunité de juridiction civile et administrative: s'il s'agit d'une action réelle concernant un immeuble privé (let. a), d'une action concernant une succession (let. b) ou d'une action concernant une activité professionnelle ou commerciale exercée en dehors des activités officielles (let. c). En l'espèce, aucune de ces exceptions n'est réalisée.</w:t>
      </w:r>
    </w:p>
    <w:p>
      <w:r>
        <w:t>Par ailleurs, l'immunité de l'intimé n'a pas été levée sur la base de l'art. 21 par. 2 de l'accord de siège OIT.</w:t>
      </w:r>
    </w:p>
    <w:p>
      <w:r>
        <w:t>C'est dès lors à bon droit que l'office a déclaré nulle et de nul effet la poursuite litigieuse et que la commission cantonale de surveillance a confirmé sa décision.</w:t>
      </w:r>
    </w:p>
    <w:p>
      <w:r>
        <w:rPr>
          <w:b/>
        </w:rPr>
        <w:t>E. 4</w:t>
      </w:r>
    </w:p>
    <w:p>
      <w:r>
        <w:t>A teneur de l'art. 38 par. 1 CVRD, l'agent diplomatique qui a sa résidence permanente dans l'Etat accréditaire ne bénéficie de l'immunité de juridiction et de l'inviolabilité que pour les actes officiels accomplis dans l'exercice de ses fonctions, à moins que des privilèges et immunités supplémentaires n'aient été accordés par l'Etat accréditaire.</w:t>
      </w:r>
    </w:p>
    <w:p>
      <w:r>
        <w:t>Le grief de violation de cette disposition tombe à faux dès lors que l'application de celle-ci, compte tenu de l'exception qui y est formulée (« à moins que des privilèges et immunités supplémentaires n'aient été accordés par l'Etat accréditaire ») et de la systématique du texte conventionnel, n'est envisageable qu'à l'égard de personnes jouissant d'une immunité limitée (membres du personnel administratif et technique, membres du personnel de service ou domestiques privés mentionnés à l'art. 37 par. 2 ss CVRD) et donc susceptibles de se voir accorder des privilèges et immunités supplémentaires. L'application de l'art. 38 par. 1 CVRD n'est pas envisageable dans le cas de personnes qui, comme l'intimé, ont le statut d'agent diplomatique bénéficiant d'une immunité complète, laquelle implique ipso facto l'octroi de « privilèges et immunités supplémentaires » excluant une telle application.</w:t>
      </w:r>
    </w:p>
    <w:p>
      <w:r>
        <w:rPr>
          <w:b/>
        </w:rPr>
        <w:t>E. 5</w:t>
      </w:r>
    </w:p>
    <w:p>
      <w:r>
        <w:t>Il résulte de ce qui précède que le recours doit être rejeté, aux frais de son auteur ( art. 66 al. 1 LTF ).</w:t>
      </w:r>
    </w:p>
    <w:p>
      <w:r>
        <w:t>Il n'y a pas lieu d'allouer des dépens à l'intimé qui a procédé sans le concours d'un avocat et qui s'est d'ailleurs contenté de renvoyer aux considérants de la décision attaquée pour conclure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