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5A_743/2023 vom 3. Oktober 2023</w:t>
      </w:r>
    </w:p>
    <w:p>
      <w:r>
        <w:t>Bundesgericht, 2023-10-03, DE</w:t>
      </w:r>
    </w:p>
    <w:p>
      <w:r>
        <w:rPr>
          <w:b/>
        </w:rPr>
        <w:t xml:space="preserve">Quelle: </w:t>
      </w:r>
      <w:r>
        <w:t>https://mcp.opencaselaw.ch/entscheid/bger_5A_743_2023</w:t>
      </w:r>
    </w:p>
    <w:p>
      <w:r>
        <w:t>FR: TF 5A_743/2023 du 3 octobre 2023</w:t>
      </w:r>
    </w:p>
    <w:p>
      <w:r>
        <w:t>IT: TF 5A_743/2023 del 3 ottobre 2023</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Neue Tatsachen und Beweismittel dürfen nur vorgebracht werden, soweit erst der angefochtene Entscheid dazu Anlass gegeben hat ( Art. 99 Abs. 1 BGG ).</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Der Beschwerdeführer macht geltend, er müsse nur "soweit möglich" Belege einreichen. Steuerunterlagen für die Jahre 2021 und 2022 seien jedoch keine vorhanden und seine älteste Schwester gewähre ihm Kredit für Unterkunft etc., wofür es ebenfalls keine Belege gebe. Auf der angegebenen Liegenschaft stehe ein Abrisshaus mit Baujahr 1910, welches nur noch Abstellplatz für Gerümpel sei.</w:t>
      </w:r>
    </w:p>
    <w:p>
      <w:r>
        <w:rPr>
          <w:b/>
        </w:rPr>
        <w:t>E. 3</w:t>
      </w:r>
    </w:p>
    <w:p>
      <w:r>
        <w:t>Der Beschwerdeführer beschränkt sich mit seinen Ausführungen - soweit sich diese überhaupt auf das Sachthema beziehen und nicht bloss allgemeine Polemik enthalten - auf neue Tatsachenbehauptungen und legt nicht ansatzweise dar, inwiefern er das Obergericht mit glaubhaften Vorbringen darauf hingewiesen hätte, wonach eine nähere Substanziierung und Dokumentierung der Einkommens- und Vermögenssituation unmöglich wäre und dieses daran generell zu hohe Anforderungen gestellt hätte.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