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5A_743/2020 vom 14. Oktober 2020</w:t>
      </w:r>
    </w:p>
    <w:p>
      <w:r>
        <w:t>Bundesgericht, 2020-10-14, DE</w:t>
      </w:r>
    </w:p>
    <w:p>
      <w:r>
        <w:rPr>
          <w:b/>
        </w:rPr>
        <w:t xml:space="preserve">Quelle: </w:t>
      </w:r>
      <w:r>
        <w:t>https://mcp.opencaselaw.ch/entscheid/bger_5A_743_2020</w:t>
      </w:r>
    </w:p>
    <w:p>
      <w:r>
        <w:t>FR: TF 5A_743/2020 du 14 octobre 2020</w:t>
      </w:r>
    </w:p>
    <w:p>
      <w:r>
        <w:t>IT: TF 5A_743/2020 del 14 ottobre 2020</w:t>
      </w:r>
    </w:p>
    <w:p>
      <w:pPr>
        <w:pStyle w:val="Heading2"/>
      </w:pPr>
      <w:r>
        <w:t>Erwägungen</w:t>
      </w:r>
    </w:p>
    <w:p>
      <w:r>
        <w:rPr>
          <w:b/>
        </w:rPr>
        <w:t>E. 1</w:t>
      </w:r>
    </w:p>
    <w:p>
      <w:r>
        <w:t>Angefochten ist der kantonal letztinstanzliche Entscheid betreffend eine durch die KESB veranlasste Umplatzierung von Kindern; dagegen steht die Beschwerde in Zivilsachen offen (Art. 72 Abs. 2 lit. b Ziff. 6, Art. 75 Abs. 1 und Art. 90 BGG ).</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Im Zusammenhang mit der Feststellung des Kantonsgerichtes, wonach die Mutter ihre bisherige Wohnung nach eigenen Angaben gekündigt habe und dem Gericht bis heute keine neue Adresse bekannt sei, rügt die Beschwerdeführerin eine Verletzung des rechtlichen Gehörs und der Offizialmaxime. Sie macht geltend, per August 2020 eine neue Wohnung bezogen und dies dem Kantonsgericht nicht gemeldet zu haben, weil sie mit den Umzugsarbeiten und den damit verbundenen Formalitäten beschäftigt gewesen sei. Das Kantonsgericht hätte bei ihr zufolge der Offizialmaxime nachfragen müssen, ob sie über eine neue Wohnung verfüge.</w:t>
      </w:r>
    </w:p>
    <w:p>
      <w:r>
        <w:t>Auch im Bereich der Offizialmaxime besteht eine Mitwirkungspflicht der Verfahrensparteien, welche gebietet, dass diese das Gericht auf erhebliche Tatsachen hinweisen ( BGE 140 I 285 E. 6.3.1 S. 298; Urteil 2C_158/2020 vom 21. August 2020 E. 2.2). Die Beschwerdeführerin ist anwaltlich vertreten. Sie hat in ihrer Beschwerde selbst festgehalten, ihre bisherige Wohnung gekündigt zu haben, und es hätte an ihr gelegen, dem Gericht ihre neue Adresse bekanntzugeben. Weder ist eine Gehörsverletzung noch eine Verletzung der Offizialmaxime ersichtlich, umso weniger als die Wohnsituation nicht das entscheidtragende Element des angefochtenen Urteils ist (vgl. dazu E. 3).</w:t>
      </w:r>
    </w:p>
    <w:p>
      <w:r>
        <w:t>Ebenso wenig liegt eine Verletzung der Begründungspflicht als Teilgehalt des rechtlichen Gehörs vor im Zusammenhang mit der Subsidiarität und Proportionalität der Unterbringung der Kinder in einer Pflegefamilie statt einer Platzierung gemeinsam mit der Beschwerdeführerin in einer Mutter-Kind-Institution: Das Kantonsgericht hat begründet, wieso dies nicht in Frage kommen kann, und die anwaltlich vertretene Beschwerdeführerin war in der Lage, den Entscheid diesbezüglich sachgerecht anzufechten ( BGE 139 IV 179 E. 2.2 S. 183; 141 III 28 E. 3.2.4 S. 41; 141 IV 249 E. 1.3.1 S. 253), wie die nachfolgende Erwägung zeigt.</w:t>
      </w:r>
    </w:p>
    <w:p>
      <w:r>
        <w:rPr>
          <w:b/>
        </w:rPr>
        <w:t>E. 3</w:t>
      </w:r>
    </w:p>
    <w:p>
      <w:r>
        <w:t>Das Kantonsgericht hat festgehalten, dass die Mutter entgegen ihrer Beteuerung, die Beziehung zum Vater der Kinder endgültig beendet zu haben, am 14. Juni 2020 gegen zwei Uhr morgens in seinem Auto von der Polizei kontrolliert worden sei und sie gegenüber der Kinderbeiständin bestätigt habe, dass sie mit ihm regelmässig telefonisch und persönlich in Kontakt stehe. Im Übrigen bestehe die Gefährdung der Kinder weniger direkt in der Person des Vaters, als vielmehr im Umstand, dass sich die Mutter trotz eigener negativer Erlebnisse und mehrfacher selbst erfahrener Gewalt nicht gegenüber diesem distanzieren könne. Insofern müsse wie bis anhin auch bei ihr selbst von einer eingeschränkten Erziehungsfähigkeit ausgegangen werden. Eine Rückführung der Kinder zu ihr liesse eine Kindeswohlgefährdung befürchten. Ebenso wenig komme eine gemeinsame Unterbringung in einer Mutter-Kind-Institution in Frage, weil diese viel zu offen geführt sei; die Mutter, welche im Übrigen die gegen E.________ ausgeübte Gewalt verharmlose (und diese sinngemäss auch in der beim Bundesgericht eingereichten Beschwerde in Abrede stellt, vgl. S. 9, eingangs Ziff. 2.3.1), könnte sich unbeaufsichtigt und unkontrolliert mit den Kindern aus einer solchen Institution entfernen und den Vater treffen. Die konkrete Platzierung der Kinder in der Pflegefamilie I.________ hat das Kantonsgericht damit begründet, dass ein Kinderheim für einen längeren Aufenthalt nicht geeignet sei und sie in einem kleineren familiären Rahmen besser aufgehoben seien. F.________, für welchen die KESB einer allfälligen Beschwerde die aufschiebende Wirkung entzogen habe, sei zwar schon in einer Pflegefamilie (Familie H.________) untergebracht, aber dabei handle es sich um einen zeitlich befristeten Notaufnahmeplatz, was eine Umplatzierung notwendig mache. Im Übrigen sollten die beiden Geschwister gemeinsam aufwachsen können.</w:t>
      </w:r>
    </w:p>
    <w:p>
      <w:r>
        <w:t>Die Mutter rügt eine Verletzung von Art. 307 und Art. 310 ZGB . Die Fremdplatzierung müsse die ultima ratio darstellen und eine Unterbringung in einer Mutter-Kind-Institution stelle eine mildere Massnahme dar, welche den Schutz der Kinder ebenfalls und im Übrigen den Aufbau einer tragenden Bindung ermögliche; wenn die Kinder während längerer Zeit in einer Pflegefamilie verbleiben würden, sei dies später nicht mehr möglich.</w:t>
      </w:r>
    </w:p>
    <w:p>
      <w:r>
        <w:t>Bei diesen Ausführungen wie auch dem Vorbringen, wenn schon wäre für eine Fremdplatzierung eine fachkundige Abklärung und ein Gutachten zwingend nötig und es hätte den Kindern auch eine Vertretung gegeben werden müssen, übergeht die Beschwerdeführerin, dass es vorliegend nicht um den Entzug des Aufenthaltsbestimmungsrechtes, worüber für beide Kinder bereits vor längerer Zeit formell rechtskräftig entschieden worden ist, sondern um die Umplatzierung an einen geeigneteren Ort geht. Das Kantonsgericht hat sich hierzu geäussert und beschwerdeweise wird diesbezüglich einzig vorgebracht, dass die Kinder sich an einem völlig neuen Ort bei ihnen unbekannten Pflegeeltern einleben müssten, was fatale Folgen namentlich für die Entwicklung von E.________ haben könne, indem Bindungsstörungen drohen würden. Mit solchen Ausführungen ist keine Rechtsverletzung in Bezug auf die kantonsgerichtliche Begründung darzutun, wieso die Unterbringung in der Pflegefamilie I.________ dem Kindeswohl am besten Rechnung trägt.</w:t>
      </w:r>
    </w:p>
    <w:p>
      <w:r>
        <w:t>Nur der Vollständigkeit halber sei festgehalten, dass die im Zuge der Stellungnahmen des Kantonsgerichtes und der KESB zur Frage der aufschiebenden Wirkung bzw. der Übermachung der kantonalen Akten eingereichten echten Noven - welche indes im vorliegenden Beschwerdeverfahren keinerlei Berücksichtigung finden dürfen ( Art. 99 Abs. 1 BGG ; BGE 139 III 120 E. 3.1.2 S. 123; 143 V 19 E. 1.2 S. 23; 144 V 35 E. 5.2.4 S. 39), sondern einzig bei einer späteren Neubeurteilung bzw. Prüfung der Wiederherstellung des Aufenthaltsbestimmungsrechtes durch die zuständigen kantonalen Instanzen relevant wären - die Entscheidungsgrundlagen nicht in die von der Beschwerdeführerin beantragte Richtung verschieben würden: Zwischenzeitlich ist sie mit Strafbefehl der Staatsanwaltschaft Luzern vom 7. September 2020 (in welchem noch weitere als die bereits erwähnten Gewaltvorfälle als erstellt erachtet wurden, z.B. dass der Vater E.________ in die Schublade einer Kommode legte, diese zustiess und das Kind 5-10 Minuten in der dunklen, sauerstoffarmen Schublade beliess, bis es mit Weinen aufgehört hatte) der fahrlässigen Vernachlässigung der Fürsorgepflicht nach Art. 219 Abs. 1 und 2 StGB schuldig gesprochen worden, während das Verfahren gegen den Vater wegen versuchter schwerer Körperverletzung noch hängig ist und diesbezüglich beim Gericht Anklage erhoben werden soll. Gemäss Bericht des Kinderheims G.________ vom 17. September 2020 hat sich der psychische und seelische Zustand von E.________ in der letzten Zeit stark verschlechtert. Dies wird auf die Veränderungen in der Besuchsrechtsregelung und in der Paarbeziehung der Eltern zurückgeführt. E.________ zeigt Rückschritte in ihrer Selbständigkeit, indem sie sich vermehrt wieder wie ein Baby verhielt; sodann ist sie dünnhäutig, orientierungslos, verunsichert und sehr bedürftig geworden. All dies würde, soweit der entsprechende Bericht berücksichtigt werden könnte, nur bestätigen, dass die Kinder in der nächsten Zeit eines stabilen sozialen Umfeldes und eines strukturierten Alltags bedürfen. Hierfür ist die Platzierung in einer Pflegefamilie I.________ geeignet und im Übrigen hat das Kantonsgericht zu Recht darauf hingewiesen, dass in allen Kinderbelangen oberste Richtschnur immer das Kindeswohl ist und allfällige Interessen der Eltern hinter den Bedürfnissen der Kinder zurückzustehen haben ( BGE 130 III 585 E. 2.1 S. 587 f.; zuletzt Urteile 5A_23/2020 vom 3. Juni 2020 E. 4; 5A_56/2020 vom 17. August 2020 E. 4.1).</w:t>
      </w:r>
    </w:p>
    <w:p>
      <w:r>
        <w:rPr>
          <w:b/>
        </w:rPr>
        <w:t>E. 4</w:t>
      </w:r>
    </w:p>
    <w:p>
      <w:r>
        <w:t>Zusammenfassend ergibt sich, dass die Beschwerde offensichtlich unbegründet und deshalb im vereinfachten Verfahren nach Art. 109 Abs. 2 lit. a BGG abzuweisen ist, soweit auf sie eingetreten werden kann.</w:t>
      </w:r>
    </w:p>
    <w:p>
      <w:r>
        <w:rPr>
          <w:b/>
        </w:rPr>
        <w:t>E. 5</w:t>
      </w:r>
    </w:p>
    <w:p>
      <w:r>
        <w:t>Angesichts der konkreten Umstände wird auf die Erhebung von Gerichtskosten verzichtet ( Art. 66 Abs. 1 BGG ). Damit ist das Gesuch um unentgeltliche Rechtspflege im Bezug auf diese gegenstandslos. Im Übrigen ist es abzuweisen, weil der Beschwerde, wie die vorstehenden Erwägungen zeigen, von Anfang an kein Erfolg beschieden sein konnte und es folglich an den materiellen Voraussetzungen der unentgeltlichen Rechtspflege fehlt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