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5A_741/2024 vom 13. März 2025</w:t>
      </w:r>
    </w:p>
    <w:p>
      <w:r>
        <w:t>Bundesgericht, 2025-03-13, DE</w:t>
      </w:r>
    </w:p>
    <w:p>
      <w:r>
        <w:rPr>
          <w:b/>
        </w:rPr>
        <w:t xml:space="preserve">Quelle: </w:t>
      </w:r>
      <w:r>
        <w:t>https://mcp.opencaselaw.ch/entscheid/bger_5A_741_2024</w:t>
      </w:r>
    </w:p>
    <w:p>
      <w:r>
        <w:t>FR: TF 5A_741/2024 du 13 mars 2025</w:t>
      </w:r>
    </w:p>
    <w:p>
      <w:r>
        <w:t>IT: TF 5A_741/2024 del 13 marzo 2025</w:t>
      </w:r>
    </w:p>
    <w:p>
      <w:pPr>
        <w:pStyle w:val="Heading2"/>
      </w:pPr>
      <w:r>
        <w:t>Erwägungen</w:t>
      </w:r>
    </w:p>
    <w:p>
      <w:r>
        <w:rPr>
          <w:b/>
        </w:rPr>
        <w:t>E. 1</w:t>
      </w:r>
    </w:p>
    <w:p>
      <w:r>
        <w:t>Angefochten ist ein Endentscheid ( Art. 90 BGG ) einer letzten kantonalen Instanz, die als oberes Gericht auf Rechtsmittel hin ( Art. 75 BGG ) über die Abänderung eines Eheschutzentscheids (insbesondere betreffend Besuchsrecht) entschieden hat. Damit liegt eine Zivilsache ( Art. 72 Abs. 1 BGG ) ohne Streitwert vor. Der Beschwerdeführer ist zur Beschwerde befugt ( Art. 76 Abs. 1 BGG ).</w:t>
      </w:r>
    </w:p>
    <w:p>
      <w:r>
        <w:rPr>
          <w:b/>
        </w:rPr>
        <w:t>E. 2.1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 Eingaben müssen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angefochtene Entscheid wurde dem Beschwerdeführer nach seinen Angaben am 25. September 2024 zugestellt. Dies bestätigt die Sendungsverfolgung der Post (act. 7). Die Beschwerdefrist begann damit am 26. September 2024 zu laufen und endete am 25. Oktober 2024. Die am 26. Oktober 2024 der Schweizerischen Post übergebene Beschwerde ist daher verspätet.</w:t>
      </w:r>
    </w:p>
    <w:p>
      <w:r>
        <w:rPr>
          <w:b/>
        </w:rPr>
        <w:t>E. 3</w:t>
      </w:r>
    </w:p>
    <w:p>
      <w:r>
        <w:t>Zufolge verspäteter Einreichung erweist sich die Beschwerde als offensichtlich unzulässig, weshalb auf sie nicht eingetreten werden kann und der Einzelrichter im vereinfachten Verfahren entscheidet ( Art. 108 Abs. 1 lit. a und Abs. 2 BGG ). Die Gerichtskosten sind entsprechend dem Ausgang des Verfahrens dem Beschwerdeführer aufzuerlegen ( Art. 66 Abs. 1 BGG ). Parteientschädigungen sind keine geschuldet,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