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5A_741/2023 vom 3. Oktober 2023</w:t>
      </w:r>
    </w:p>
    <w:p>
      <w:r>
        <w:t>Bundesgericht, 2023-10-03, DE</w:t>
      </w:r>
    </w:p>
    <w:p>
      <w:r>
        <w:rPr>
          <w:b/>
        </w:rPr>
        <w:t xml:space="preserve">Quelle: </w:t>
      </w:r>
      <w:r>
        <w:t>https://mcp.opencaselaw.ch/entscheid/bger_5A_741_2023</w:t>
      </w:r>
    </w:p>
    <w:p>
      <w:r>
        <w:t>FR: TF 5A_741/2023 du 3 octobre 2023</w:t>
      </w:r>
    </w:p>
    <w:p>
      <w:r>
        <w:t>IT: TF 5A_741/2023 del 3 ottobre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vorsorglicher Massnahmeentscheid, so dass nur die Rüge der Verletzung verfassungsmässiger Rechte möglich ist ( Art. 98 BGG ), wofür das strenge Rügeprinzip im Sinn von Art. 106 Abs. 2 BGG gilt. Im Übrigen hat die Beschwerde ein Rechtsbegehren zu enthalten ( Art. 42 Abs. 1 BGG ).</w:t>
      </w:r>
    </w:p>
    <w:p>
      <w:r>
        <w:rPr>
          <w:b/>
        </w:rPr>
        <w:t>E. 2</w:t>
      </w:r>
    </w:p>
    <w:p>
      <w:r>
        <w:t>Die Beschwerde enthält weder ein Rechtsbegehren noch eine Darlegung, welche verfassungsmässigen Rechte und inwiefern diese verletzt sein sollen, sondern ausschliesslich - die ohnehin an der Sache vorbeigehende - Aussage, im Normalfall hätten beide Elternteile ein Sorgerecht für das Kind und das Gericht habe nie behauptet, dass er nicht über ein Sorgerecht verfüge.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