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741/2010 vom 11. Mai 2011</w:t>
      </w:r>
    </w:p>
    <w:p>
      <w:r>
        <w:t>Bundesgericht, 2011-05-11, FR</w:t>
      </w:r>
    </w:p>
    <w:p>
      <w:r>
        <w:rPr>
          <w:b/>
        </w:rPr>
        <w:t xml:space="preserve">Quelle: </w:t>
      </w:r>
      <w:r>
        <w:t>https://mcp.opencaselaw.ch/entscheid/bger_5A_741_2010</w:t>
      </w:r>
    </w:p>
    <w:p>
      <w:r>
        <w:t>FR: TF 5A 741/2010 du 11 mai 2011</w:t>
      </w:r>
    </w:p>
    <w:p>
      <w:r>
        <w:t>IT: TF 5A 741/2010 del 11 maggio 2011</w:t>
      </w:r>
    </w:p>
    <w:p>
      <w:pPr>
        <w:pStyle w:val="Heading2"/>
      </w:pPr>
      <w:r>
        <w:t>Regeste</w:t>
      </w:r>
    </w:p>
    <w:p>
      <w:r>
        <w:t>servitude | Droits réels</w:t>
      </w:r>
    </w:p>
    <w:p>
      <w:pPr>
        <w:pStyle w:val="Heading2"/>
      </w:pPr>
      <w:r>
        <w:t>Erwägungen</w:t>
      </w:r>
    </w:p>
    <w:p>
      <w:r>
        <w:rPr>
          <w:b/>
        </w:rPr>
        <w:t>E. 1.1</w:t>
      </w:r>
    </w:p>
    <w:p>
      <w:r>
        <w:t>L'arrêt entrepris tranche une contestation relative à une servitude foncière, c'est-à-dire une affaire civile ( art. 72 al. 1 LTF ), de nature pécuniaire ( ATF 92 II 62 consid. 3 à 5 p. 65 s. et les arrêts cités). La valeur litigieuse retenue s'élève à 64'000 fr. (arrêt de renvoi 5A_32/2008 du 29 janvier 2009), de sorte que le seuil minimal fixé par la loi est atteint ( art. 74 al. 1 let. b LTF ).</w:t>
      </w:r>
    </w:p>
    <w:p>
      <w:r>
        <w:rPr>
          <w:b/>
        </w:rPr>
        <w:t>E. 1.2</w:t>
      </w:r>
    </w:p>
    <w:p>
      <w:r>
        <w:t>Interjeté en temps utile ( art. 100 al. 1 LTF ), à l'encontre d'une décision finale ( art. 90 LTF ), prise par le tribunal supérieur du canton de Fribourg ( art. 75 al. 1 LTF ) sur renvoi du Tribunal fédéral, le présent recours en matière civile est ouvert aux mêmes conditions que sous l'empire de l'ancien art. 66 OJ (Message du Conseil fédéral concernant la révision totale de l'organisation judiciaire fédérale du 28 février 2011, FF 2001 p. 4000 ss, 4143; arrêts 4A_71/2007 du 19 octobre 2007 consid. 2.2 et 9C_522/2007 du 17 juin 2008 consid. 3.1).</w:t>
      </w:r>
    </w:p>
    <w:p>
      <w:r>
        <w:rPr>
          <w:b/>
        </w:rPr>
        <w:t>E. 2</w:t>
      </w:r>
    </w:p>
    <w:p>
      <w:r>
        <w:t>Conformément aux principes posés par cette dernière disposition,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p. 94 et les références citées). Saisi d'un recours contre la nouvelle décision, le Tribunal fédéral est aussi lié par son arrêt de renvoi ( ATF 125 III 421 consid. 2a p. 423); il ne saurait se fonder sur les motifs qu'il avait écartés ou dont il avait fait abstraction dans sa précédente décision ( ATF 111 II 94 consid. 2 p. 95).</w:t>
      </w:r>
    </w:p>
    <w:p>
      <w:r>
        <w:rPr>
          <w:b/>
        </w:rPr>
        <w:t>E. 3.1</w:t>
      </w:r>
    </w:p>
    <w:p>
      <w:r>
        <w:t>Les recourants affirment que la juridiction cantonale aurait refusé d'instruire la cause conformément aux considérants de l'arrêt rendu par le Tribunal fédéral le 29 janvier 2009, aux termes desquels elle devait examiner la problématique de l'inscription de la servitude litigieuse, problématique qui s'expliquait précisément par la procédure d'inscription des servitudes dans les cadastres cantonaux qu'ils avaient développée dans leurs écritures cantonales.</w:t>
      </w:r>
    </w:p>
    <w:p>
      <w:r>
        <w:rPr>
          <w:b/>
        </w:rPr>
        <w:t>E. 3.2</w:t>
      </w:r>
    </w:p>
    <w:p>
      <w:r>
        <w:t>Après avoir pourtant retenu dans les considérants en fait de son arrêt qu'il lui incombait "d'examiner préalablement si les défendeurs étaient titulaires d'un droit de passage, puis d'aborder la question de l'inscription de cette servitude", la cour cantonale a retenu, en droit, que l'inscription d'une servitude qui ne désignait pas le fonds dominant ou la personne titulaire du droit était lacunaire et qu'elle équivalait à une absence d'inscription. En tant que l'inscription de la servitude litigieuse entrait dans cette catégorie, la preuve de l'existence de la servitude et de la titularité de celle-ci devait être apportée indépendamment de toute inscription. Il était donc vain que les recourants fissent l'historique de l'inscription lacunaire: non seulement celle-ci ne pouvait de toute façon pas être prise en considération pour établir leur droit, mais elle ne leur permettait pas non plus de démontrer que la servitude avait pris naissance indépendamment d'une inscription, qu'elle était demeurée valable jusqu'ici et qu'ils en étaient titulaires. Manifestement, la juridiction cantonale n'a pas compris l'arrêt du Tribunal fédéral du 29 janvier 2009.</w:t>
      </w:r>
    </w:p>
    <w:p>
      <w:r>
        <w:rPr>
          <w:b/>
        </w:rPr>
        <w:t>E. 3.3.1</w:t>
      </w:r>
    </w:p>
    <w:p>
      <w:r>
        <w:t>Dans cet arrêt, la Cour de céans a d'abord rappelé les principes relatifs à la constitution et à l'inscription des servitudes au registre foncier fédéral, précisant notamment que l'inscription sur le feuillet du fonds servant devait désigner le fonds qui bénéficiait de la servitude ou, pour les servitudes personnelles, la personne titulaire du droit ( art. 35 al. 2 let . d de l'Ordonnance sur le registre foncier [ORF; RS 211.432.1]), sous peine d'inexistence (ou de nullité) de la servitude. Pour le registre foncier fédéral, l'inscription "chemin de servitude comme au plan" ou "selon plan", sans précision du ou des fonds dominant(s) serait donc inexistante ou nulle. La Cour de céans a ensuite constaté ( art. 105 al. 2 LTF ) qu'en l'espèce, la question ne concernait pas une inscription de servitude au registre foncier fédéral, mais une inscription au cadastre cantonal, la Commune de X.________ n'ayant pas encore introduit le registre foncier fédéral. Il en découlait logiquement que les règles valables pour le registre foncier fédéral ne s'y appliquaient pas et que le droit cantonal était applicable tant pour la naissance de la servitude et l'étendue de ses bénéficiaires, que pour son inscription au cadastre cantonal.</w:t>
      </w:r>
    </w:p>
    <w:p>
      <w:r>
        <w:rPr>
          <w:b/>
        </w:rPr>
        <w:t>E. 3.3.2</w:t>
      </w:r>
    </w:p>
    <w:p>
      <w:r>
        <w:t>Le Tribunal fédéral a encore relevé, d'une part, que l'état de fait de l'arrêt attaqué ne précisait pas à quel plan il était fait référence (1845, 1903 ou 1938), de sorte qu'il n'était pas possible de déterminer si la servitude litigieuse était antérieure ou postérieure à 1912; il a d'autre part observé que le cadastre n'indiquait pas non plus l'origine de la servitude, faute de contrat constitutif de servitude. S'agissant des servitudes antérieures à 1912, la Cour de céans a remarqué, en se fondant sur différents auteurs, que, dans le canton de Fribourg, le cadastre produisait les effets de publicité du registre foncier fédéral dans la seule mesure où une procédure de sommation (même sans introduction du registre foncier fédéral) avait eu lieu; a contrario, tant qu'il n'y avait pas eu de telle procédure, les servitudes qui avaient été constituées avant 1912 et qui pouvaient naître sans inscription continuaient à produire leurs effets, mêmes si elles n'étaient pas inscrites. Concernant ensuite les chemins ruraux, antérieurs ou postérieurs à 1912, visés par l'art. 249 de la loi d'application du code civil suisse pour le canton de Fribourg (LACC/FR; art. 740 CC ), le Tribunal fédéral a retenu que leur inscription au cadastre avec la seule mention "chemin de servitude", sans indication des fonds dominants - mode d'inscription qui n'est plus applicable après l'introduction du registre foncier fédéral - produisait les mêmes effets que le registre foncier fédéral en ce qui concernait la publicité de celui-ci. S'agissant en revanche de leur "inscription" et donc de leurs bénéficiaires, il fallait admettre que la détermination de ces derniers, qui ne résultait pas, à l'évidence, de l'inscription "selon plan" figurant au cadastre, ne pouvait pas être effectuée à l'aide des présomptions utilisées dans la pratique fribourgeoise. Pour y procéder, la cour cantonale aurait dû examiner "si les recourants étaient ou non titulaires d'un droit de passage", en d'autres termes si "leur fonds bénéfici[ait] depuis des temps immémoriaux, en tout cas avant 1912, d'une servitude de passage" comme ils l'affirmaient en invoquant notamment l'art. 249 LACC/FR. Le caractère rural du chemin n'étant pas contesté, l'autorité cantonale n'avait toutefois pas résolu le point de savoir si ce chemin était affecté à un usage agricole et non seulement utilisé comme accès à la voie publique; or, elle devait examiner, en procédant à l'administration des moyens de preuve, si celui-ci servait effectivement à l'exploitation du fonds no 94, selon les termes mêmes de l'art. 249 LACC/FR.</w:t>
      </w:r>
    </w:p>
    <w:p>
      <w:r>
        <w:rPr>
          <w:b/>
        </w:rPr>
        <w:t>E. 3.3.3</w:t>
      </w:r>
    </w:p>
    <w:p>
      <w:r>
        <w:t>Ce n'est qu'une fois la titularité déterminée que devait se poser la question de la façon dont la servitude avait été portée au cadastre, selon le droit cantonal.</w:t>
      </w:r>
    </w:p>
    <w:p>
      <w:r>
        <w:rPr>
          <w:b/>
        </w:rPr>
        <w:t>E. 3.4</w:t>
      </w:r>
    </w:p>
    <w:p>
      <w:r>
        <w:t>Ainsi, contrairement à ce que retient la cour cantonale, le Tribunal fédéral n'a pas retenu que l'inscription de la servitude litigieuse serait lacunaire et équivaudrait à une absence d'inscription puisqu'il s'agit non pas d'une inscription au registre foncier fédéral mais au cadastre cantonal, inscription régie par le droit cantonal. La Cour de céans a renvoyé la cause à la juridiction cantonale afin de déterminer: 1) en fait, à quel plan il était fait référence au cadastre; et 2) dans l'hypothèse où la servitude était antérieure à 1912, s'il s'agissait d'une servitude sans inscription ("servitudes apparentes" réservées dans l'extrait des nos 244a, 748 et 94); ou 3) dans l'hypothèse où la servitude était un chemin rural (ce qui n'était pas contesté) antérieur ou postérieur à 1912, dont le fondement juri- dique est l'art. 249 LACC ( art. 740 CC ), si elle servait effectivement à l'exploitation du fonds dominant. Dès lors qu'il ne respecte pas les exigences de l'arrêt de renvoi du 29 janvier 2009, l'arrêt attaqué doit être annulé et la cause renvoyée à nouveau à l'autorité cantonale. Les autres griefs soulevés par les recourants deviennent ainsi sans objet.</w:t>
      </w:r>
    </w:p>
    <w:p>
      <w:r>
        <w:rPr>
          <w:b/>
        </w:rPr>
        <w:t>E. 4</w:t>
      </w:r>
    </w:p>
    <w:p>
      <w:r>
        <w:t>En conclusion, le recours est admis, l'arrêt attaqué est annulé et la cause est renvoyée à l'autorité cantonale pour nouvelle décision. Les frais judiciaires sont mis à la charge des intimés qui ont conclu au rejet du recours, dans la mesure de sa recevabilité ( art. 66 al. 1 LTF ); ils verseront également une indemnité de dépens aux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