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740/2017 vom 26. September 2017</w:t>
      </w:r>
    </w:p>
    <w:p>
      <w:r>
        <w:t>Bundesgericht, 2017-09-26, DE</w:t>
      </w:r>
    </w:p>
    <w:p>
      <w:r>
        <w:rPr>
          <w:b/>
        </w:rPr>
        <w:t xml:space="preserve">Quelle: </w:t>
      </w:r>
      <w:r>
        <w:t>https://mcp.opencaselaw.ch/entscheid/bger_5A_740_2017</w:t>
      </w:r>
    </w:p>
    <w:p>
      <w:r>
        <w:t>FR: TF 5A 740/2017 du 26 septembre 2017</w:t>
      </w:r>
    </w:p>
    <w:p>
      <w:r>
        <w:t>IT: TF 5A 740/2017 del 26 settembre 2017</w:t>
      </w:r>
    </w:p>
    <w:p>
      <w:pPr>
        <w:pStyle w:val="Heading2"/>
      </w:pPr>
      <w:r>
        <w:t>Regeste</w:t>
      </w:r>
    </w:p>
    <w:p>
      <w:r>
        <w:t>Liegenschaftssteigerung (Verteilungsplan) | Schuldbetreibungs- und Konkursrecht</w:t>
      </w:r>
    </w:p>
    <w:p>
      <w:pPr>
        <w:pStyle w:val="Heading2"/>
      </w:pPr>
      <w:r>
        <w:t>Erwägungen</w:t>
      </w:r>
    </w:p>
    <w:p>
      <w:r>
        <w:rPr>
          <w:b/>
        </w:rPr>
        <w:t>E. 1</w:t>
      </w:r>
    </w:p>
    <w:p>
      <w:r>
        <w:t>Das Betreibungsamt Region Solothurn hat am 3. Mai 2017 die Liegenschaft GB U.________ Nr. xxx (Viereinhalbzimmerwohnung im Parterre West an der B.________strasse yyy) versteigert. Die betreibungsamtliche Schätzung lautete auf Fr. 310'000.--, erzielt wurden Fr. 220'000.--. Das Betreibungsamt stellte Pfandausfallscheine zu Gunsten der Bank C.________ und des Amts für öffentliche Sicherheit aus. Mit Urteil vom 6. September 2017 wies die Aufsichtsbehörde des Kantons Solothurn eine Beschwerde des Schuldners (fortan: Beschwerdeführer) gegen den Verteilungsplan ab, soweit sie darauf eintrat. Am 21. September 2017 hat der Beschwerdeführer Beschwerde in Zivilsachen an das Bundesgericht erhoben.</w:t>
      </w:r>
    </w:p>
    <w:p>
      <w:r>
        <w:rPr>
          <w:b/>
        </w:rPr>
        <w:t>E. 2</w:t>
      </w:r>
    </w:p>
    <w:p>
      <w:r>
        <w:t>Angefochten ist ein kantonal letztinstanzlicher Entscheid der (einzigen) Aufsichtsbehörde in Schuldbetreibungs- und Konkurssachen, so dass die Beschwerde in Zivilsachen grundsätzlich gegeben ist ( Art. 72 Abs. 2 lit. a, Art. 74 Abs. 2 lit. c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Vor der Aufsichtsbehörde machte der Beschwerdeführer geltend, die Bank C.________ habe ihm garantiert, bei einem Verkauf würden die Schulden gelöscht, was aber nicht geschehen sei. Er verlangte Amortisationen von Fr. 42'630.-- zurück. Er habe Fr. 40'000.-- seiner Pensionskasse entnommen. Die Aufsichtsbehörde hat dazu erwogen, die Forderungen könnten wegen des erzielten Preises nicht vollständig beglichen werden. Es habe ein Pfandausfall resultiert. Da nichts übriggeblieben sei, könne dem Beschwerdeführer auch nichts vergütet werden. Was die Pensionskasse angehe, so liege kein Erlös im Sinne von Art. 30d Abs. 5 BVG vor, weshalb nichts zurückbezahlt werden könne. Auf die geltend gemachte Absprache mit der Grundpfandgläubigerin könne die Aufsichtsbehörde nicht eingehen. Vor Bundesgericht beruft sich der Beschwerdeführer erneut auf seine angebliche Absprache mit der Bank C.________. Diese ist weder belegt noch legt er dar, inwieweit diese für das Betreibungsamt oder die Aufsichtsbehörde relevant sein könnte. Auf die Erwägungen der Vorinstanz geht er nicht im Einzelnen ein. Insbesondere setzt er sich nicht mit den von der Vorinstanz geschilderten gesetzlichen Grundlagen zur Rückzahlung der Pensionskassengelder auseinander. Er macht ausserdem geltend, bei der Verwertung hätte sicher ein höherer Verkaufspreis erzielt werden können. Soweit er sich damit über Fehler bei der Versteigerung beschweren möchte, hätte er Entsprechendes vor der Vorinstanz vorbringen müssen. Die Beschwerde erweist sich damit als offensichtlich unzulässig bzw. sie enthält offensichtlich keine hinreichende Begründung. Darauf ist im vereinfachten Verfahren gemäss Art. 108 Abs. 1 lit. a und b BGG durch das präsidierende Mitglied der Abteilung nicht einzutreten.</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