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5A_73/2025 vom 27. Januar 2025</w:t>
      </w:r>
    </w:p>
    <w:p>
      <w:r>
        <w:t>Bundesgericht, 2025-01-27, DE</w:t>
      </w:r>
    </w:p>
    <w:p>
      <w:r>
        <w:rPr>
          <w:b/>
        </w:rPr>
        <w:t xml:space="preserve">Quelle: </w:t>
      </w:r>
      <w:r>
        <w:t>https://mcp.opencaselaw.ch/entscheid/bger_5A_73_2025</w:t>
      </w:r>
    </w:p>
    <w:p>
      <w:r>
        <w:t>FR: TF 5A_73/2025 du 27 janvier 2025</w:t>
      </w:r>
    </w:p>
    <w:p>
      <w:r>
        <w:t>IT: TF 5A_73/2025 del 27 gennaio 2025</w:t>
      </w:r>
    </w:p>
    <w:p>
      <w:pPr>
        <w:pStyle w:val="Heading2"/>
      </w:pPr>
      <w:r>
        <w:t>Erwägungen</w:t>
      </w:r>
    </w:p>
    <w:p>
      <w:r>
        <w:rPr>
          <w:b/>
        </w:rPr>
        <w:t>E. 1</w:t>
      </w:r>
    </w:p>
    <w:p>
      <w:r>
        <w:t>Angefochten ist der kantonal letztinstanzliche Entscheid betreffend eine Beschwerde in Schuldbetreibung und Konkurs; die Beschwerde in Zivilsachen steht offen ( Art. 72 Abs. 1 lit. a, Art. 75 Abs. 1 und Art. 90 BGG ).</w:t>
      </w:r>
    </w:p>
    <w:p>
      <w:r>
        <w:rPr>
          <w:b/>
        </w:rPr>
        <w:t>E. 2</w:t>
      </w:r>
    </w:p>
    <w:p>
      <w:r>
        <w:t>Die Vorinstanz ist auf das Rechtsmittel des Beschwerdeführers nicht eingetreten. Anfechtungsgegenstand des bundesgerichtlichen Verfahrens kann deshalb grundsätzlich nur die Frage bilden, ob sie zu Recht einen Nichteintretensentscheid gefällt hat ( BGE 135 II 38 E. 1.2; 139 II 233 E. 3.2). Diesbezüglich hat die Beschwerde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Der Beschwerde mangelt es an einem Rechtsbegehren. Sodann setzt sich der Beschwerdeführer nicht damit auseinander, dass er seine Beschwerde an das Obergericht ungenügend begründet hat, und er zeigt nicht auf, inwiefern der angefochtene Nichteintretensentscheid vor diesem Hintergrund gegen Recht verstossen soll. Ferner setzt er sich auch nicht sachgerichtet mit der subsidiären materiellen Begründung im angefochtenen Entscheid auseinander, dass er keine Anhaltspunkte geliefert habe, inwiefern der Schuldner effektiv im Zuständigkeitskreis des Betreibungsamtes Wohnsitz haben könnte. Soweit die Beschwerde überhaupt leserlich ist, beschränkt sich der Beschwerdeführer vielmehr darauf, in abstrakter Weise zu behaupten, das Betreibungsamt sei für den Schuldner örtlich zuständig und weigere sich, seinen Pflichten nachzukommen.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Nachdem dem Beschwerdeführer bereits mehrmals angedroht worden ist, dass künftig im Fall des Einreichens von unbegründeten oder unzulässigen Beschwerden die Gerichtskosten auferlegt würden, rechtfertigt es sich vorliegend nicht mehr, ausnahmsweise auf eine Kostenerhebung entsprechend dem Ausgang des Verfahrens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