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73/2011 vom 1. November 2011</w:t>
      </w:r>
    </w:p>
    <w:p>
      <w:r>
        <w:t>Bundesgericht, 2011-11-01, FR</w:t>
      </w:r>
    </w:p>
    <w:p>
      <w:r>
        <w:rPr>
          <w:b/>
        </w:rPr>
        <w:t xml:space="preserve">Quelle: </w:t>
      </w:r>
      <w:r>
        <w:t>https://mcp.opencaselaw.ch/entscheid/bger_5A_73_2011</w:t>
      </w:r>
    </w:p>
    <w:p>
      <w:r>
        <w:t>FR: TF 5A 73/2011 du 1 novembre 2011</w:t>
      </w:r>
    </w:p>
    <w:p>
      <w:r>
        <w:t>IT: TF 5A 73/2011 del 1 novembre 2011</w:t>
      </w:r>
    </w:p>
    <w:p>
      <w:pPr>
        <w:pStyle w:val="Heading2"/>
      </w:pPr>
      <w:r>
        <w:t>Regeste</w:t>
      </w:r>
    </w:p>
    <w:p>
      <w:r>
        <w:t>mainlevée d'opposition | Droit des poursuites et faillites</w:t>
      </w:r>
    </w:p>
    <w:p>
      <w:pPr>
        <w:pStyle w:val="Heading2"/>
      </w:pPr>
      <w:r>
        <w:t>Erwägungen</w:t>
      </w:r>
    </w:p>
    <w:p>
      <w:r>
        <w:rPr>
          <w:b/>
        </w:rPr>
        <w:t>E. 1.1</w:t>
      </w:r>
    </w:p>
    <w:p>
      <w:r>
        <w:t>La décision rendue en matière de mainlevée - définitive ou provisoire - de l'opposition est une décision finale au sens de l' art. 90 LTF puisqu'elle met fin à l'instance ( ATF 134 III 115 consid. 1.1). Elle peut faire l'objet du recours en matière civile ( art. 72 al. 2 let. a LTF ) lorsque la valeur litigieuse atteint, comme en l'espèce, au moins 30'000 fr. ( art. 74 al. 1 let. b LTF ; ATF 133 III 399 consid. 1.3). Interjeté en temps utile ( art. 46 al. 1 let . c et 100 al. 1 LTF) par la partie qui a succombé (partiellement) en instance cantonale ( art. 76 al. 1 LTF ) à l'encontre d'une telle décision prise sur recours en dernière instance cantonale ( art. 75 LTF ), le présent recours est en principe recevable.</w:t>
      </w:r>
    </w:p>
    <w:p>
      <w:r>
        <w:rPr>
          <w:b/>
        </w:rPr>
        <w:t>E. 1.2</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toutefois de la violation des droits fondamentaux que si ce grief a été soulevé et motivé par le recourant ("principe d'allégation"; art. 106 al. 2 LTF ; ATF 134 I 83 consid. 3.2; 133 II 249 consid. 1.4.2).</w:t>
      </w:r>
    </w:p>
    <w:p>
      <w:r>
        <w:rPr>
          <w:b/>
        </w:rPr>
        <w:t>E. 1.3</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se plaindre d'un établissement manifestement inexact - c'est-à-dire arbitraire ( art. 9 Cst. ; ATF 133 II 249 consid. 1.2.2 p. 252) - des faits doit satisfaire au principe d'allégation susmentionné (consid. 1.2),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w:t>
      </w:r>
    </w:p>
    <w:p>
      <w:r>
        <w:rPr>
          <w:b/>
        </w:rPr>
        <w:t>E. 1.4</w:t>
      </w:r>
    </w:p>
    <w:p>
      <w:r>
        <w:t>Dépourvu de toute motivation, le chef de conclusions tendant à ce qu'il soit constaté que la gérance légale n'a plus lieu d'être est irrecevable au regard de l' art. 42 al. 1 et 2 LTF .</w:t>
      </w:r>
    </w:p>
    <w:p>
      <w:r>
        <w:rPr>
          <w:b/>
        </w:rPr>
        <w:t>E. 2.1</w:t>
      </w:r>
    </w:p>
    <w:p>
      <w:r>
        <w:t>Constitue une reconnaissance de dette, au sens de l' art. 82 al. 1 LP , l'acte authentique ou sous seing privé signé par le poursuivi - ou son représentant -, d'où découle sa volonté de payer au poursuivant, sans réserve ni condition, une somme d'argent déterminée, ou aisément déterminable, et échue ( ATF 130 III 87 consid. 3.1 p. 88 et les références citées). S'agissant de l'exigibilité de la créance en poursuite, il appartient au créancier de l'établir (arrêt 5A_845/2009 du 16 février 2010 consid. 7.1; DANIEL STAEHELIN, in Kommentar zum Bundesgesetz über Schuldbetreibung und Konkurs, n. 77 et 79 ad art. 82 LP ). Le poursuivi peut la contester et rendre immédiatement vraisemblable sa libération conformément à l' art. 82 al. 2 LP . La loi n'exige pas une preuve stricte de ce moyen libératoire (cf. ATF 96 I 4 consid. 1). Lorsque le juge statue sous l'angle de la simple vraisemblance, il doit, en se fondant sur des éléments objectifs, avoir l'impression que les faits allégués se sont produits, sans exclure pour autant la possibilité qu'ils se soient déroulés autrement ( ATF 132 III 140 consid. 4.1.2 et les citations; arrêt 5A_726/2010 du 22 mars 2011 consid. 3.2.1).</w:t>
      </w:r>
    </w:p>
    <w:p>
      <w:r>
        <w:rPr>
          <w:b/>
        </w:rPr>
        <w:t>E. 2.2</w:t>
      </w:r>
    </w:p>
    <w:p>
      <w:r>
        <w:t>Le recourant prétend que la cour cantonale a admis à tort l'exigibilité de la créance cédulaire, car la créance causale résultant du prêt hypothécaire de 1'000'000 fr. accordé le 28 avril 2004 n'était pas exigible au moment du dépôt de la réquisition de poursuite faute d'avoir été résilié valablement. Il fait valoir à cet égard que la poursuivante n'a pas respecté le délai de dénonciation de 90 jours et que lui-même n'a pas été en retard dans le paiement des intérêts et des amortissement de la dette. Le recourant ne remet toutefois pas en cause la constatation de la cour cantonale selon laquelle les deux autres créances causales, issues des prêts hypothécaires de 270'000 fr. du 18 avril 2004 et de 400'000 fr. du 28 avril 2004, étaient exigibles depuis le 29 avril 2005. Or, aux termes du chiffre 4 de l'acte de transfert de propriété à titre de garantie, la banque était en droit d'exiger l'exécution des créances hypothécaires constituées en garantie dès l'exigibilité, fût-elle seulement partielle, de l'une des créances résultant des crédits. Deux de celles-ci étant effectivement exigibles, c'est à bon droit que l'arrêt attaqué retient que l'intimée pouvait réclamer la créance abstraite ou cédulaire. Le recourant ne conteste pas que cette créance, comme l'admet en outre l'arrêt attaqué, a été valablement dénoncée au remboursement le 26 novembre 2008 pour le 28 février 2009. En limitant sa critique à la résiliation - en soi non décisive - du troisième prêt hypothécaire de 1'000'000 fr., il ne fait pas la démonstration de la violation de l' art. 82 LP en tant que cette disposition subordonne l'octroi de la mainlevée de l'opposition à l'exigibilité de la créance ici en cause, à savoir la créance - abstraite - de 1'670'000 fr. Au demeurant, s'agissant de la résiliation du troisième prêt hypothécaire, le recourant se contente de simples dénégations concernant le retard dans le paiement des intérêts et amortissements convenus et le respect du délai de dénonciation. Il ne démontre pas, conformément aux exigences rappelées plus haut (consid. 1.3), en quoi, sur ces points, la cour cantonale aurait établi les faits de façon manifestement inexacte ou en violation du droit au sens de l' art. 95 LTF .</w:t>
      </w:r>
    </w:p>
    <w:p>
      <w:r>
        <w:rPr>
          <w:b/>
        </w:rPr>
        <w:t>E. 2.3</w:t>
      </w:r>
    </w:p>
    <w:p>
      <w:r>
        <w:t>Il résulte de ce qui précède que le recours doit être rejeté dans la mesure de sa recevabilité.</w:t>
      </w:r>
    </w:p>
    <w:p>
      <w:r>
        <w:rPr>
          <w:b/>
        </w:rPr>
        <w:t>E. 3</w:t>
      </w:r>
    </w:p>
    <w:p>
      <w:r>
        <w:t>En vertu de l' art. 64 al. 1 LTF , une partie peut obtenir l'assistance judiciaire à la double condition qu'elle ne dispose pas de ressources suffisantes et que ses conclusions ne paraissent pas vouées à l'échec. S'agissant de la première condition, il appartient au requérant d'établir et de documenter son indigence ( ATF 125 IV 161 consid. 4a p. 164). En l'espèce, le recourant allègue n'avoir aucun revenu professionnel, étant en détention, ni aucune fortune à disposition, dès lors que les revenus des immeubles qu'il possède en indivision avec sa soeur ont été séquestrés conformément à une ordonnance pénale du 18 avril 2007, qu'une action en partage et des poursuites en réalisation de gage concernant ses immeubles sont en cours et que la part sur l'immeuble qu'il possède en copropriété avec son épouse fait également l'objet d'un séquestre pénal. Il ne donne toutefois aucune indication chiffrée permettant d'évaluer son besoin, se contentant de renvoyer aux décisions rendues au pénal. Or, il va de soi que les valeurs patrimoniales séquestrées ou confisquées par le juge pénal ne peuvent être que celles susceptibles de constituer le résultat de l'infraction reprochée ou celles destinées à décider ou à récompenser l'auteur de celle-ci (cf. art. 70 al. 1 CP ). Rien n'indique que le recourant ne dispose pas d'autres avoirs à côté de ces valeurs patrimoniales séquestrées ou confisquées. Le fait qu'une action en partage soit en cours n'est pas décisif. Il en va de même du fait que le recourant fasse l'objet de poursuites, l'indigence n'étant pas nécessairement assimilée à l'insolvabilité (arrêt 4P.50/1992 du 16 juin 1992 consid. 7 c/bb p. 12). La demande d'assistance judiciaire doit donc être rejetée faute pour le recourant d'établir sa prétendue indigence et, en outre, faute de chances de succès du recours. Les frais judiciaires doivent par conséquent être mis à la charge du recourant ( art. 66 al. 1 LTF ). L'intimée, qui a conclu au rejet du recours, a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